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20" w:lineRule="exact"/>
        <w:jc w:val="center"/>
        <w:rPr>
          <w:rFonts w:ascii="文星标宋" w:hAnsi="文星标宋" w:eastAsia="文星标宋"/>
          <w:bCs/>
          <w:color w:val="000000"/>
          <w:sz w:val="44"/>
          <w:szCs w:val="44"/>
        </w:rPr>
      </w:pPr>
    </w:p>
    <w:p>
      <w:pPr>
        <w:spacing w:line="620" w:lineRule="exact"/>
        <w:jc w:val="center"/>
        <w:rPr>
          <w:rFonts w:ascii="文星标宋" w:hAnsi="文星标宋" w:eastAsia="文星标宋"/>
          <w:bCs/>
          <w:color w:val="000000"/>
          <w:sz w:val="44"/>
          <w:szCs w:val="44"/>
        </w:rPr>
      </w:pPr>
      <w:r>
        <w:rPr>
          <w:rFonts w:hint="eastAsia" w:ascii="文星标宋" w:hAnsi="文星标宋" w:eastAsia="文星标宋"/>
          <w:bCs/>
          <w:color w:val="000000"/>
          <w:sz w:val="44"/>
          <w:szCs w:val="44"/>
        </w:rPr>
        <w:t>潍坊市人民政府</w:t>
      </w:r>
    </w:p>
    <w:p>
      <w:pPr>
        <w:spacing w:line="620" w:lineRule="exact"/>
        <w:jc w:val="center"/>
        <w:rPr>
          <w:rFonts w:ascii="文星标宋" w:hAnsi="文星标宋" w:eastAsia="文星标宋"/>
          <w:bCs/>
          <w:color w:val="000000"/>
          <w:sz w:val="44"/>
          <w:szCs w:val="44"/>
        </w:rPr>
      </w:pPr>
      <w:r>
        <w:rPr>
          <w:rFonts w:hint="eastAsia" w:ascii="文星标宋" w:hAnsi="文星标宋" w:eastAsia="文星标宋"/>
          <w:bCs/>
          <w:color w:val="000000"/>
          <w:sz w:val="44"/>
          <w:szCs w:val="44"/>
        </w:rPr>
        <w:t>2017年政府信息公开工作年度报告</w:t>
      </w:r>
    </w:p>
    <w:p>
      <w:pPr>
        <w:spacing w:line="620" w:lineRule="exact"/>
        <w:ind w:firstLine="640"/>
        <w:rPr>
          <w:rFonts w:ascii="仿宋_GB2312" w:hAnsi="微软雅黑" w:eastAsia="仿宋_GB2312" w:cs="宋体"/>
          <w:color w:val="3D3D3D"/>
          <w:kern w:val="0"/>
          <w:sz w:val="32"/>
          <w:szCs w:val="32"/>
        </w:rPr>
      </w:pPr>
    </w:p>
    <w:p>
      <w:pPr>
        <w:spacing w:line="620" w:lineRule="exact"/>
        <w:ind w:firstLine="640"/>
        <w:rPr>
          <w:rFonts w:ascii="仿宋_GB2312" w:eastAsia="仿宋_GB2312" w:cs="微软雅黑"/>
          <w:kern w:val="0"/>
          <w:sz w:val="32"/>
          <w:szCs w:val="32"/>
          <w:lang w:val="zh-CN"/>
        </w:rPr>
      </w:pPr>
      <w:r>
        <w:rPr>
          <w:rFonts w:hint="eastAsia" w:ascii="仿宋_GB2312" w:eastAsia="仿宋_GB2312" w:cs="微软雅黑"/>
          <w:kern w:val="0"/>
          <w:sz w:val="32"/>
          <w:szCs w:val="32"/>
          <w:lang w:val="zh-CN"/>
        </w:rPr>
        <w:t>本报告根据《中华人民共和国政府信息公开条例》（以下简称《条例》）和《山东省政府信息公开办法》（以下简称《办法》）要求以及各县市区人民政府、市属各开发区管委会和市政府各部门、单位的2017年政府信息公开工作年度报告编制。</w:t>
      </w:r>
    </w:p>
    <w:p>
      <w:pPr>
        <w:widowControl/>
        <w:spacing w:line="620" w:lineRule="exact"/>
        <w:ind w:firstLine="628"/>
        <w:rPr>
          <w:rFonts w:ascii="仿宋_GB2312" w:eastAsia="仿宋_GB2312" w:cs="微软雅黑"/>
          <w:kern w:val="0"/>
          <w:sz w:val="32"/>
          <w:szCs w:val="32"/>
          <w:lang w:val="zh-CN"/>
        </w:rPr>
      </w:pPr>
      <w:r>
        <w:rPr>
          <w:rFonts w:hint="eastAsia" w:ascii="仿宋_GB2312" w:eastAsia="仿宋_GB2312" w:cs="微软雅黑"/>
          <w:kern w:val="0"/>
          <w:sz w:val="32"/>
          <w:szCs w:val="32"/>
          <w:lang w:val="zh-CN"/>
        </w:rPr>
        <w:t>本报告由概述、主动公开政府信息情况、依申请公开政府信息情况、举报和行政复议及行政诉讼情况、存在的主要问题及改进措施、附表等六部分组成。本报告中所列数据的统计期限为2017年1月1日至2017年12月31日。本报告电子版可在潍坊市人民政府门户网站“中国·潍坊”（www.weifang.gov.cn）查阅或下载。如对本报告有疑问，请与潍坊市人民政府办公室联系（地址：潍坊市胜利东街99号，邮编：261061，电话：0536-8789880，传真：0536-8789890，电子邮箱:zwgk@weifang.gov.cn）。</w:t>
      </w:r>
    </w:p>
    <w:p>
      <w:pPr>
        <w:widowControl/>
        <w:spacing w:line="620" w:lineRule="exact"/>
        <w:ind w:firstLine="628"/>
        <w:rPr>
          <w:rFonts w:ascii="黑体" w:hAnsi="黑体" w:eastAsia="黑体" w:cs="宋体"/>
          <w:color w:val="3D3D3D"/>
          <w:spacing w:val="-6"/>
          <w:kern w:val="0"/>
          <w:sz w:val="32"/>
          <w:szCs w:val="32"/>
        </w:rPr>
      </w:pPr>
      <w:r>
        <w:rPr>
          <w:rFonts w:hint="eastAsia" w:ascii="黑体" w:hAnsi="黑体" w:eastAsia="黑体" w:cs="宋体"/>
          <w:color w:val="3D3D3D"/>
          <w:spacing w:val="-6"/>
          <w:kern w:val="0"/>
          <w:sz w:val="32"/>
          <w:szCs w:val="32"/>
        </w:rPr>
        <w:t>一、概述</w:t>
      </w:r>
    </w:p>
    <w:p>
      <w:pPr>
        <w:widowControl/>
        <w:spacing w:line="620" w:lineRule="exact"/>
        <w:ind w:firstLine="628"/>
        <w:rPr>
          <w:rFonts w:ascii="仿宋_GB2312" w:eastAsia="仿宋_GB2312" w:cs="微软雅黑"/>
          <w:kern w:val="0"/>
          <w:sz w:val="32"/>
          <w:szCs w:val="32"/>
          <w:lang w:val="zh-CN"/>
        </w:rPr>
      </w:pPr>
      <w:r>
        <w:rPr>
          <w:rFonts w:hint="eastAsia" w:ascii="仿宋_GB2312" w:eastAsia="仿宋_GB2312" w:cs="微软雅黑"/>
          <w:kern w:val="0"/>
          <w:sz w:val="32"/>
          <w:szCs w:val="32"/>
          <w:lang w:val="zh-CN"/>
        </w:rPr>
        <w:t>2017年，全市政府系统深入贯彻落实《条例》《办法》和相关规定，紧紧围绕党中央、国务院、省委、省政府以及市委、市政府关于政务公开工作决策部署，全面推进决策、执行、管理、服务、结果公开，及时主动做好解读回应工作，切实保障人民群众知情权、参与权、表达权和监督权，努力为新旧动能转换和“四个城市”建设提供政务环境保障。</w:t>
      </w:r>
    </w:p>
    <w:p>
      <w:pPr>
        <w:widowControl/>
        <w:spacing w:line="620" w:lineRule="exact"/>
        <w:ind w:firstLine="628"/>
        <w:rPr>
          <w:rFonts w:ascii="楷体_GB2312" w:hAnsi="黑体" w:eastAsia="楷体_GB2312"/>
          <w:sz w:val="32"/>
          <w:szCs w:val="32"/>
          <w:shd w:val="clear" w:color="auto" w:fill="FFFFFF"/>
        </w:rPr>
      </w:pPr>
      <w:r>
        <w:rPr>
          <w:rFonts w:hint="eastAsia" w:ascii="楷体_GB2312" w:hAnsi="黑体" w:eastAsia="楷体_GB2312"/>
          <w:sz w:val="32"/>
          <w:szCs w:val="32"/>
          <w:shd w:val="clear" w:color="auto" w:fill="FFFFFF"/>
        </w:rPr>
        <w:t>（一）加强组织领导，突出制度基础建设</w:t>
      </w:r>
    </w:p>
    <w:p>
      <w:pPr>
        <w:widowControl/>
        <w:spacing w:line="620" w:lineRule="exact"/>
        <w:ind w:firstLine="628"/>
        <w:rPr>
          <w:rFonts w:ascii="仿宋_GB2312" w:hAnsi="黑体" w:eastAsia="仿宋_GB2312"/>
          <w:sz w:val="32"/>
          <w:szCs w:val="32"/>
          <w:shd w:val="clear" w:color="auto" w:fill="FFFFFF"/>
        </w:rPr>
      </w:pPr>
      <w:r>
        <w:rPr>
          <w:rFonts w:hint="eastAsia" w:ascii="仿宋_GB2312" w:eastAsia="仿宋_GB2312" w:cs="微软雅黑"/>
          <w:kern w:val="0"/>
          <w:sz w:val="32"/>
          <w:szCs w:val="32"/>
          <w:lang w:val="zh-CN"/>
        </w:rPr>
        <w:t>市委、市政府高度重视政务公开工作。市政府主要负责同志</w:t>
      </w:r>
      <w:r>
        <w:rPr>
          <w:rFonts w:hint="eastAsia" w:ascii="仿宋_GB2312" w:hAnsi="黑体" w:eastAsia="仿宋_GB2312"/>
          <w:sz w:val="32"/>
          <w:szCs w:val="32"/>
          <w:shd w:val="clear" w:color="auto" w:fill="FFFFFF"/>
        </w:rPr>
        <w:t>多次批示要求切实做好政务公开工作。</w:t>
      </w:r>
      <w:r>
        <w:rPr>
          <w:rFonts w:hint="eastAsia" w:ascii="仿宋_GB2312" w:eastAsia="仿宋_GB2312" w:cs="微软雅黑"/>
          <w:kern w:val="0"/>
          <w:sz w:val="32"/>
          <w:szCs w:val="32"/>
          <w:lang w:val="zh-CN"/>
        </w:rPr>
        <w:t>修订《潍坊市人民政府工作规则》，将推进政务公开作为其中独立的一章进行了详细的规定，</w:t>
      </w:r>
      <w:r>
        <w:rPr>
          <w:rFonts w:hint="eastAsia" w:ascii="仿宋_GB2312" w:hAnsi="黑体" w:eastAsia="仿宋_GB2312"/>
          <w:sz w:val="32"/>
          <w:szCs w:val="32"/>
          <w:shd w:val="clear" w:color="auto" w:fill="FFFFFF"/>
        </w:rPr>
        <w:t>市政府办公室</w:t>
      </w:r>
      <w:r>
        <w:rPr>
          <w:rFonts w:hint="eastAsia" w:ascii="仿宋_GB2312" w:hAnsi="Calibri" w:eastAsia="仿宋_GB2312" w:cs="Times New Roman"/>
          <w:sz w:val="32"/>
          <w:szCs w:val="32"/>
        </w:rPr>
        <w:t>先后印发8个政务公开制度机制，建立健全了政务公开工作机</w:t>
      </w:r>
      <w:r>
        <w:rPr>
          <w:rFonts w:hint="eastAsia" w:ascii="仿宋_GB2312" w:hAnsi="黑体" w:eastAsia="仿宋_GB2312"/>
          <w:sz w:val="32"/>
          <w:szCs w:val="32"/>
          <w:shd w:val="clear" w:color="auto" w:fill="FFFFFF"/>
        </w:rPr>
        <w:t>制和推进措施，为全面做好政府信息公开和政务公开工作奠定了坚实的制度基础。强化督促检查，引入政务公开第三方评估机构，对各级各有关部门政务公开工作情况进行客观公正评估。</w:t>
      </w:r>
    </w:p>
    <w:p>
      <w:pPr>
        <w:widowControl/>
        <w:rPr>
          <w:rFonts w:ascii="仿宋_GB2312" w:hAnsi="黑体" w:eastAsia="仿宋_GB2312"/>
          <w:sz w:val="32"/>
          <w:szCs w:val="32"/>
          <w:shd w:val="clear" w:color="auto" w:fill="FFFFFF"/>
        </w:rPr>
      </w:pPr>
      <w:r>
        <w:rPr>
          <w:rFonts w:ascii="仿宋_GB2312" w:hAnsi="黑体" w:eastAsia="仿宋_GB2312"/>
          <w:sz w:val="32"/>
          <w:szCs w:val="32"/>
          <w:shd w:val="clear" w:color="auto" w:fill="FFFFFF"/>
        </w:rPr>
        <w:drawing>
          <wp:inline distT="0" distB="0" distL="0" distR="0">
            <wp:extent cx="5272405" cy="1443990"/>
            <wp:effectExtent l="19050" t="0" r="4141"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 cstate="print"/>
                    <a:srcRect/>
                    <a:stretch>
                      <a:fillRect/>
                    </a:stretch>
                  </pic:blipFill>
                  <pic:spPr>
                    <a:xfrm>
                      <a:off x="0" y="0"/>
                      <a:ext cx="5274310" cy="1445037"/>
                    </a:xfrm>
                    <a:prstGeom prst="rect">
                      <a:avLst/>
                    </a:prstGeom>
                    <a:noFill/>
                    <a:ln w="9525">
                      <a:noFill/>
                      <a:miter lim="800000"/>
                      <a:headEnd/>
                      <a:tailEnd/>
                    </a:ln>
                  </pic:spPr>
                </pic:pic>
              </a:graphicData>
            </a:graphic>
          </wp:inline>
        </w:drawing>
      </w:r>
    </w:p>
    <w:p>
      <w:pPr>
        <w:widowControl/>
        <w:rPr>
          <w:rFonts w:ascii="仿宋_GB2312" w:eastAsia="仿宋_GB2312" w:cs="微软雅黑"/>
          <w:kern w:val="0"/>
          <w:sz w:val="32"/>
          <w:szCs w:val="32"/>
          <w:lang w:val="zh-CN"/>
        </w:rPr>
      </w:pPr>
      <w:r>
        <w:rPr>
          <w:rFonts w:ascii="仿宋_GB2312" w:eastAsia="仿宋_GB2312" w:cs="微软雅黑"/>
          <w:kern w:val="0"/>
          <w:sz w:val="32"/>
          <w:szCs w:val="32"/>
        </w:rPr>
        <w:drawing>
          <wp:inline distT="0" distB="0" distL="0" distR="0">
            <wp:extent cx="5274310" cy="1980565"/>
            <wp:effectExtent l="1905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 cstate="print"/>
                    <a:srcRect/>
                    <a:stretch>
                      <a:fillRect/>
                    </a:stretch>
                  </pic:blipFill>
                  <pic:spPr>
                    <a:xfrm>
                      <a:off x="0" y="0"/>
                      <a:ext cx="5274310" cy="1980891"/>
                    </a:xfrm>
                    <a:prstGeom prst="rect">
                      <a:avLst/>
                    </a:prstGeom>
                    <a:noFill/>
                    <a:ln w="9525">
                      <a:noFill/>
                      <a:miter lim="800000"/>
                      <a:headEnd/>
                      <a:tailEnd/>
                    </a:ln>
                  </pic:spPr>
                </pic:pic>
              </a:graphicData>
            </a:graphic>
          </wp:inline>
        </w:drawing>
      </w:r>
    </w:p>
    <w:p>
      <w:pPr>
        <w:widowControl/>
        <w:rPr>
          <w:rFonts w:ascii="楷体_GB2312" w:hAnsi="黑体" w:eastAsia="楷体_GB2312"/>
          <w:sz w:val="32"/>
          <w:szCs w:val="32"/>
          <w:shd w:val="clear" w:color="auto" w:fill="FFFFFF"/>
        </w:rPr>
      </w:pPr>
      <w:r>
        <w:rPr>
          <w:rFonts w:ascii="楷体_GB2312" w:hAnsi="黑体" w:eastAsia="楷体_GB2312"/>
          <w:sz w:val="32"/>
          <w:szCs w:val="32"/>
          <w:shd w:val="clear" w:color="auto" w:fill="FFFFFF"/>
        </w:rPr>
        <w:drawing>
          <wp:inline distT="0" distB="0" distL="0" distR="0">
            <wp:extent cx="5274310" cy="3956050"/>
            <wp:effectExtent l="19050" t="0" r="2540" b="0"/>
            <wp:docPr id="6" name="图片 28" descr="C:\Users\Administrator\Desktop\微信图片_2018032210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descr="C:\Users\Administrator\Desktop\微信图片_20180322103236.jpg"/>
                    <pic:cNvPicPr>
                      <a:picLocks noChangeAspect="1" noChangeArrowheads="1"/>
                    </pic:cNvPicPr>
                  </pic:nvPicPr>
                  <pic:blipFill>
                    <a:blip r:embed="rId7" cstate="print"/>
                    <a:srcRect/>
                    <a:stretch>
                      <a:fillRect/>
                    </a:stretch>
                  </pic:blipFill>
                  <pic:spPr>
                    <a:xfrm>
                      <a:off x="0" y="0"/>
                      <a:ext cx="5274310" cy="3956465"/>
                    </a:xfrm>
                    <a:prstGeom prst="rect">
                      <a:avLst/>
                    </a:prstGeom>
                    <a:noFill/>
                    <a:ln w="9525">
                      <a:noFill/>
                      <a:miter lim="800000"/>
                      <a:headEnd/>
                      <a:tailEnd/>
                    </a:ln>
                  </pic:spPr>
                </pic:pic>
              </a:graphicData>
            </a:graphic>
          </wp:inline>
        </w:drawing>
      </w:r>
    </w:p>
    <w:p>
      <w:pPr>
        <w:widowControl/>
        <w:spacing w:line="620" w:lineRule="exact"/>
        <w:ind w:firstLine="628"/>
        <w:rPr>
          <w:rFonts w:ascii="楷体_GB2312" w:hAnsi="黑体" w:eastAsia="楷体_GB2312"/>
          <w:sz w:val="32"/>
          <w:szCs w:val="32"/>
          <w:shd w:val="clear" w:color="auto" w:fill="FFFFFF"/>
        </w:rPr>
      </w:pPr>
      <w:r>
        <w:rPr>
          <w:rFonts w:hint="eastAsia" w:ascii="楷体_GB2312" w:hAnsi="黑体" w:eastAsia="楷体_GB2312"/>
          <w:sz w:val="32"/>
          <w:szCs w:val="32"/>
          <w:shd w:val="clear" w:color="auto" w:fill="FFFFFF"/>
        </w:rPr>
        <w:t>（二）规范公开目录，强化重点领域信息公开</w:t>
      </w:r>
    </w:p>
    <w:p>
      <w:pPr>
        <w:widowControl/>
        <w:spacing w:line="620" w:lineRule="exact"/>
        <w:ind w:firstLine="616" w:firstLineChars="200"/>
        <w:rPr>
          <w:rFonts w:ascii="仿宋_GB2312" w:eastAsia="仿宋_GB2312" w:cs="微软雅黑"/>
          <w:kern w:val="0"/>
          <w:sz w:val="32"/>
          <w:szCs w:val="32"/>
          <w:lang w:val="zh-CN"/>
        </w:rPr>
      </w:pPr>
      <w:r>
        <w:rPr>
          <w:rFonts w:hint="eastAsia" w:ascii="仿宋_GB2312" w:hAnsi="仿宋" w:eastAsia="仿宋_GB2312" w:cs="Times New Roman"/>
          <w:spacing w:val="-6"/>
          <w:sz w:val="32"/>
          <w:szCs w:val="32"/>
        </w:rPr>
        <w:t>印发《</w:t>
      </w:r>
      <w:r>
        <w:rPr>
          <w:rFonts w:hint="eastAsia" w:ascii="仿宋_GB2312" w:hAnsi="Calibri" w:eastAsia="仿宋_GB2312" w:cs="Times New Roman"/>
          <w:sz w:val="32"/>
          <w:szCs w:val="32"/>
        </w:rPr>
        <w:t>潍坊市政府信息主动公开基本目录（市级）</w:t>
      </w:r>
      <w:r>
        <w:rPr>
          <w:rFonts w:hint="eastAsia" w:ascii="仿宋_GB2312" w:hAnsi="仿宋" w:eastAsia="仿宋_GB2312" w:cs="Times New Roman"/>
          <w:spacing w:val="-6"/>
          <w:sz w:val="32"/>
          <w:szCs w:val="32"/>
        </w:rPr>
        <w:t>》</w:t>
      </w:r>
      <w:r>
        <w:rPr>
          <w:rFonts w:hint="eastAsia" w:ascii="仿宋_GB2312" w:hAnsi="Calibri" w:eastAsia="仿宋_GB2312" w:cs="Times New Roman"/>
          <w:sz w:val="32"/>
          <w:szCs w:val="32"/>
        </w:rPr>
        <w:t>《潍坊市2017年重点领域信息公开目录清单》，进一步</w:t>
      </w:r>
      <w:r>
        <w:rPr>
          <w:rFonts w:hint="eastAsia" w:ascii="仿宋_GB2312" w:hAnsi="仿宋" w:eastAsia="仿宋_GB2312" w:cs="Times New Roman"/>
          <w:spacing w:val="-6"/>
          <w:sz w:val="32"/>
          <w:szCs w:val="32"/>
        </w:rPr>
        <w:t>明确各重点领域公开责任单位、公开内容、公开时限以及公开形式，进一步</w:t>
      </w:r>
      <w:r>
        <w:rPr>
          <w:rFonts w:hint="eastAsia" w:ascii="仿宋_GB2312" w:hAnsi="Calibri" w:eastAsia="仿宋_GB2312" w:cs="Times New Roman"/>
          <w:sz w:val="32"/>
          <w:szCs w:val="32"/>
        </w:rPr>
        <w:t>加强全市政府信息公开规范化建设，全面拓展和不断深化公开内容</w:t>
      </w:r>
      <w:r>
        <w:rPr>
          <w:rFonts w:hint="eastAsia" w:ascii="仿宋_GB2312" w:hAnsi="仿宋" w:eastAsia="仿宋_GB2312"/>
          <w:spacing w:val="-6"/>
          <w:sz w:val="32"/>
          <w:szCs w:val="32"/>
        </w:rPr>
        <w:t>。</w:t>
      </w:r>
      <w:r>
        <w:rPr>
          <w:rFonts w:hint="eastAsia" w:ascii="仿宋_GB2312" w:hAnsi="仿宋" w:eastAsia="仿宋_GB2312" w:cs="Times New Roman"/>
          <w:spacing w:val="-6"/>
          <w:sz w:val="32"/>
          <w:szCs w:val="32"/>
        </w:rPr>
        <w:t>在市政府门户网站设立了潍坊市重点领域信息公开</w:t>
      </w:r>
      <w:r>
        <w:rPr>
          <w:rFonts w:hint="eastAsia" w:ascii="仿宋_GB2312" w:hAnsi="仿宋" w:eastAsia="仿宋_GB2312" w:cs="Times New Roman"/>
          <w:spacing w:val="-6"/>
          <w:sz w:val="32"/>
          <w:szCs w:val="32"/>
          <w:lang w:eastAsia="zh-CN"/>
        </w:rPr>
        <w:t>专栏</w:t>
      </w:r>
      <w:r>
        <w:rPr>
          <w:rFonts w:hint="eastAsia" w:ascii="仿宋_GB2312" w:hAnsi="仿宋" w:eastAsia="仿宋_GB2312" w:cs="Times New Roman"/>
          <w:spacing w:val="-6"/>
          <w:sz w:val="32"/>
          <w:szCs w:val="32"/>
        </w:rPr>
        <w:t>，通过该</w:t>
      </w:r>
      <w:r>
        <w:rPr>
          <w:rFonts w:hint="eastAsia" w:ascii="仿宋_GB2312" w:hAnsi="仿宋" w:eastAsia="仿宋_GB2312" w:cs="Times New Roman"/>
          <w:spacing w:val="-6"/>
          <w:sz w:val="32"/>
          <w:szCs w:val="32"/>
          <w:lang w:eastAsia="zh-CN"/>
        </w:rPr>
        <w:t>专栏</w:t>
      </w:r>
      <w:r>
        <w:rPr>
          <w:rFonts w:hint="eastAsia" w:ascii="仿宋_GB2312" w:hAnsi="仿宋" w:eastAsia="仿宋_GB2312" w:cs="Times New Roman"/>
          <w:spacing w:val="-6"/>
          <w:sz w:val="32"/>
          <w:szCs w:val="32"/>
        </w:rPr>
        <w:t>集中发布重点领</w:t>
      </w:r>
      <w:r>
        <w:rPr>
          <w:rFonts w:hint="eastAsia" w:ascii="仿宋_GB2312" w:hAnsi="仿宋" w:eastAsia="仿宋_GB2312"/>
          <w:spacing w:val="-6"/>
          <w:sz w:val="32"/>
          <w:szCs w:val="32"/>
        </w:rPr>
        <w:t>域信息，方便公众查阅</w:t>
      </w:r>
      <w:r>
        <w:rPr>
          <w:rFonts w:hint="eastAsia" w:ascii="仿宋_GB2312" w:hAnsi="仿宋" w:eastAsia="仿宋_GB2312" w:cs="Times New Roman"/>
          <w:spacing w:val="-6"/>
          <w:sz w:val="32"/>
          <w:szCs w:val="32"/>
        </w:rPr>
        <w:t>。2017年，</w:t>
      </w:r>
      <w:r>
        <w:rPr>
          <w:rFonts w:hint="eastAsia" w:ascii="仿宋_GB2312" w:eastAsia="仿宋_GB2312" w:cs="微软雅黑"/>
          <w:kern w:val="0"/>
          <w:sz w:val="32"/>
          <w:szCs w:val="32"/>
          <w:lang w:val="zh-CN"/>
        </w:rPr>
        <w:t>全市政府系统共主动公开重点领域信息6万余条。</w:t>
      </w:r>
    </w:p>
    <w:p>
      <w:pPr>
        <w:widowControl/>
        <w:rPr>
          <w:rFonts w:ascii="仿宋_GB2312" w:eastAsia="仿宋_GB2312" w:cs="微软雅黑"/>
          <w:kern w:val="0"/>
          <w:sz w:val="32"/>
          <w:szCs w:val="32"/>
          <w:lang w:val="zh-CN"/>
        </w:rPr>
      </w:pPr>
      <w:r>
        <w:rPr>
          <w:rFonts w:ascii="仿宋_GB2312" w:eastAsia="仿宋_GB2312" w:cs="微软雅黑"/>
          <w:kern w:val="0"/>
          <w:sz w:val="32"/>
          <w:szCs w:val="32"/>
        </w:rPr>
        <w:drawing>
          <wp:inline distT="0" distB="0" distL="0" distR="0">
            <wp:extent cx="5274310" cy="2798445"/>
            <wp:effectExtent l="19050" t="0" r="254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8" cstate="print"/>
                    <a:srcRect/>
                    <a:stretch>
                      <a:fillRect/>
                    </a:stretch>
                  </pic:blipFill>
                  <pic:spPr>
                    <a:xfrm>
                      <a:off x="0" y="0"/>
                      <a:ext cx="5274310" cy="2798791"/>
                    </a:xfrm>
                    <a:prstGeom prst="rect">
                      <a:avLst/>
                    </a:prstGeom>
                    <a:noFill/>
                    <a:ln w="9525">
                      <a:noFill/>
                      <a:miter lim="800000"/>
                      <a:headEnd/>
                      <a:tailEnd/>
                    </a:ln>
                  </pic:spPr>
                </pic:pic>
              </a:graphicData>
            </a:graphic>
          </wp:inline>
        </w:drawing>
      </w:r>
    </w:p>
    <w:p>
      <w:pPr>
        <w:widowControl/>
        <w:spacing w:line="620" w:lineRule="exact"/>
        <w:ind w:firstLine="628"/>
        <w:rPr>
          <w:rFonts w:ascii="楷体_GB2312" w:hAnsi="黑体" w:eastAsia="楷体_GB2312"/>
          <w:sz w:val="32"/>
          <w:szCs w:val="32"/>
          <w:shd w:val="clear" w:color="auto" w:fill="FFFFFF"/>
        </w:rPr>
      </w:pPr>
      <w:r>
        <w:rPr>
          <w:rFonts w:hint="eastAsia" w:ascii="楷体_GB2312" w:hAnsi="黑体" w:eastAsia="楷体_GB2312"/>
          <w:sz w:val="32"/>
          <w:szCs w:val="32"/>
          <w:shd w:val="clear" w:color="auto" w:fill="FFFFFF"/>
        </w:rPr>
        <w:t>（三）</w:t>
      </w:r>
      <w:r>
        <w:rPr>
          <w:rFonts w:hint="eastAsia" w:ascii="楷体_GB2312" w:eastAsia="楷体_GB2312"/>
          <w:color w:val="000000"/>
          <w:sz w:val="32"/>
          <w:szCs w:val="32"/>
          <w:shd w:val="clear" w:color="auto" w:fill="FFFFFF"/>
        </w:rPr>
        <w:t>加强政策解读，积极回应社会关切</w:t>
      </w:r>
    </w:p>
    <w:p>
      <w:pPr>
        <w:spacing w:line="620" w:lineRule="exact"/>
        <w:ind w:firstLine="640" w:firstLineChars="200"/>
        <w:rPr>
          <w:rFonts w:ascii="仿宋_GB2312" w:eastAsia="仿宋_GB2312"/>
          <w:sz w:val="32"/>
          <w:szCs w:val="32"/>
        </w:rPr>
      </w:pPr>
      <w:r>
        <w:rPr>
          <w:rFonts w:hint="eastAsia" w:ascii="仿宋_GB2312" w:hAnsi="Calibri" w:eastAsia="仿宋_GB2312" w:cs="Times New Roman"/>
          <w:sz w:val="32"/>
          <w:szCs w:val="32"/>
        </w:rPr>
        <w:t>印发《关于建立政府信息公开属性源头认定制度的通知》《关于做好政府政策性文件解读工作的通知》，建立起政府信息公开属性源头认定制度和</w:t>
      </w:r>
      <w:r>
        <w:rPr>
          <w:rFonts w:hint="eastAsia" w:ascii="仿宋_GB2312" w:hAnsi="Calibri" w:eastAsia="仿宋_GB2312" w:cs="微软雅黑"/>
          <w:kern w:val="0"/>
          <w:sz w:val="32"/>
          <w:szCs w:val="32"/>
          <w:lang w:val="zh-CN"/>
        </w:rPr>
        <w:t>政策性文件</w:t>
      </w:r>
      <w:r>
        <w:rPr>
          <w:rFonts w:hint="eastAsia" w:ascii="仿宋_GB2312" w:eastAsia="仿宋_GB2312" w:cs="微软雅黑"/>
          <w:kern w:val="0"/>
          <w:sz w:val="32"/>
          <w:szCs w:val="32"/>
          <w:lang w:val="zh-CN"/>
        </w:rPr>
        <w:t>与解读方案、解读材料同步组织、同步审签、同步部署的工作机制。</w:t>
      </w:r>
      <w:r>
        <w:rPr>
          <w:rFonts w:hint="eastAsia" w:ascii="仿宋_GB2312" w:eastAsia="仿宋_GB2312"/>
          <w:sz w:val="32"/>
          <w:szCs w:val="32"/>
        </w:rPr>
        <w:t>市政府主要负责同志带头在山东电视台解读潍坊市“放管服”改革工作</w:t>
      </w:r>
      <w:r>
        <w:rPr>
          <w:rFonts w:hint="eastAsia" w:ascii="仿宋_GB2312" w:eastAsia="仿宋_GB2312"/>
          <w:sz w:val="32"/>
          <w:szCs w:val="32"/>
          <w:lang w:eastAsia="zh-CN"/>
        </w:rPr>
        <w:t>，</w:t>
      </w:r>
      <w:r>
        <w:rPr>
          <w:rFonts w:hint="eastAsia" w:ascii="仿宋_GB2312" w:eastAsia="仿宋_GB2312"/>
          <w:sz w:val="32"/>
          <w:szCs w:val="32"/>
          <w:lang w:val="en-US" w:eastAsia="zh-CN"/>
        </w:rPr>
        <w:t>2017</w:t>
      </w:r>
      <w:r>
        <w:rPr>
          <w:rFonts w:hint="eastAsia" w:ascii="仿宋_GB2312" w:eastAsia="仿宋_GB2312"/>
          <w:sz w:val="32"/>
          <w:szCs w:val="32"/>
          <w:lang w:eastAsia="zh-CN"/>
        </w:rPr>
        <w:t>年共</w:t>
      </w:r>
      <w:r>
        <w:rPr>
          <w:rFonts w:hint="eastAsia" w:ascii="仿宋_GB2312" w:eastAsia="仿宋_GB2312"/>
          <w:sz w:val="32"/>
          <w:szCs w:val="32"/>
        </w:rPr>
        <w:t>发布各类政策解读信息1300余条</w:t>
      </w:r>
      <w:r>
        <w:rPr>
          <w:rFonts w:hint="eastAsia" w:ascii="仿宋_GB2312" w:eastAsia="仿宋_GB2312"/>
          <w:sz w:val="32"/>
          <w:szCs w:val="32"/>
          <w:lang w:eastAsia="zh-CN"/>
        </w:rPr>
        <w:t>。</w:t>
      </w:r>
    </w:p>
    <w:p>
      <w:pPr>
        <w:jc w:val="left"/>
        <w:rPr>
          <w:rFonts w:ascii="仿宋_GB2312" w:hAnsi="仿宋_GB2312" w:eastAsia="仿宋_GB2312" w:cs="仿宋_GB2312"/>
          <w:sz w:val="32"/>
          <w:szCs w:val="32"/>
        </w:rPr>
      </w:pPr>
      <w:r>
        <w:drawing>
          <wp:inline distT="0" distB="0" distL="0" distR="0">
            <wp:extent cx="5274310" cy="2624455"/>
            <wp:effectExtent l="19050" t="0" r="2540" b="0"/>
            <wp:docPr id="10" name="图片 10" descr="http://www.wfbb.gov.cn/upload/201710/20/20171020163445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wfbb.gov.cn/upload/201710/20/201710201634450847.jpg"/>
                    <pic:cNvPicPr>
                      <a:picLocks noChangeAspect="1" noChangeArrowheads="1"/>
                    </pic:cNvPicPr>
                  </pic:nvPicPr>
                  <pic:blipFill>
                    <a:blip r:embed="rId9" cstate="print"/>
                    <a:srcRect/>
                    <a:stretch>
                      <a:fillRect/>
                    </a:stretch>
                  </pic:blipFill>
                  <pic:spPr>
                    <a:xfrm>
                      <a:off x="0" y="0"/>
                      <a:ext cx="5274310" cy="2624780"/>
                    </a:xfrm>
                    <a:prstGeom prst="rect">
                      <a:avLst/>
                    </a:prstGeom>
                    <a:noFill/>
                    <a:ln w="9525">
                      <a:noFill/>
                      <a:miter lim="800000"/>
                      <a:headEnd/>
                      <a:tailEnd/>
                    </a:ln>
                  </pic:spPr>
                </pic:pic>
              </a:graphicData>
            </a:graphic>
          </wp:inline>
        </w:drawing>
      </w:r>
    </w:p>
    <w:p>
      <w:pPr>
        <w:spacing w:line="620" w:lineRule="exact"/>
        <w:ind w:firstLine="640" w:firstLineChars="200"/>
        <w:rPr>
          <w:rFonts w:hint="eastAsia" w:ascii="仿宋_GB2312" w:eastAsia="仿宋_GB2312"/>
          <w:sz w:val="32"/>
          <w:szCs w:val="32"/>
        </w:rPr>
      </w:pPr>
      <w:r>
        <w:rPr>
          <w:rFonts w:hint="eastAsia" w:ascii="仿宋_GB2312" w:eastAsia="仿宋_GB2312"/>
          <w:sz w:val="32"/>
          <w:szCs w:val="32"/>
        </w:rPr>
        <w:t>各级</w:t>
      </w:r>
      <w:r>
        <w:rPr>
          <w:rFonts w:hint="eastAsia" w:ascii="仿宋_GB2312" w:eastAsia="仿宋_GB2312"/>
          <w:sz w:val="32"/>
          <w:szCs w:val="32"/>
          <w:lang w:eastAsia="zh-CN"/>
        </w:rPr>
        <w:t>各部门</w:t>
      </w:r>
      <w:r>
        <w:rPr>
          <w:rFonts w:hint="eastAsia" w:ascii="仿宋_GB2312" w:eastAsia="仿宋_GB2312"/>
          <w:sz w:val="32"/>
          <w:szCs w:val="32"/>
        </w:rPr>
        <w:t>均在政府门户网站设立了</w:t>
      </w:r>
      <w:r>
        <w:rPr>
          <w:rFonts w:hint="eastAsia" w:ascii="仿宋_GB2312" w:eastAsia="仿宋_GB2312"/>
          <w:sz w:val="32"/>
          <w:szCs w:val="32"/>
          <w:lang w:eastAsia="zh-CN"/>
        </w:rPr>
        <w:t>互动交流栏目，利用</w:t>
      </w:r>
      <w:r>
        <w:rPr>
          <w:rFonts w:hint="eastAsia" w:ascii="仿宋_GB2312" w:eastAsia="仿宋_GB2312"/>
          <w:sz w:val="32"/>
          <w:szCs w:val="32"/>
        </w:rPr>
        <w:t>新闻发布会、</w:t>
      </w:r>
      <w:r>
        <w:rPr>
          <w:rFonts w:hint="eastAsia" w:ascii="仿宋_GB2312" w:eastAsia="仿宋_GB2312"/>
          <w:sz w:val="32"/>
          <w:szCs w:val="32"/>
          <w:lang w:eastAsia="zh-CN"/>
        </w:rPr>
        <w:t>政务服务</w:t>
      </w:r>
      <w:r>
        <w:rPr>
          <w:rFonts w:hint="eastAsia" w:ascii="仿宋_GB2312" w:eastAsia="仿宋_GB2312"/>
          <w:sz w:val="32"/>
          <w:szCs w:val="32"/>
        </w:rPr>
        <w:t>热线、</w:t>
      </w:r>
      <w:r>
        <w:rPr>
          <w:rFonts w:hint="eastAsia" w:ascii="仿宋_GB2312" w:eastAsia="仿宋_GB2312"/>
          <w:sz w:val="32"/>
          <w:szCs w:val="32"/>
          <w:lang w:eastAsia="zh-CN"/>
        </w:rPr>
        <w:t>县市（区）长信箱、政务微信微博、投诉举报</w:t>
      </w:r>
      <w:r>
        <w:rPr>
          <w:rFonts w:hint="eastAsia" w:ascii="仿宋_GB2312" w:eastAsia="仿宋_GB2312"/>
          <w:sz w:val="32"/>
          <w:szCs w:val="32"/>
        </w:rPr>
        <w:t>等</w:t>
      </w:r>
      <w:r>
        <w:rPr>
          <w:rFonts w:hint="eastAsia" w:ascii="仿宋_GB2312" w:eastAsia="仿宋_GB2312"/>
          <w:sz w:val="32"/>
          <w:szCs w:val="32"/>
          <w:lang w:eastAsia="zh-CN"/>
        </w:rPr>
        <w:t>平台</w:t>
      </w:r>
      <w:r>
        <w:rPr>
          <w:rFonts w:hint="eastAsia" w:ascii="仿宋_GB2312" w:eastAsia="仿宋_GB2312"/>
          <w:sz w:val="32"/>
          <w:szCs w:val="32"/>
        </w:rPr>
        <w:t>，</w:t>
      </w:r>
      <w:r>
        <w:rPr>
          <w:rFonts w:hint="eastAsia" w:ascii="仿宋_GB2312" w:eastAsia="仿宋_GB2312"/>
          <w:sz w:val="32"/>
          <w:szCs w:val="32"/>
          <w:lang w:eastAsia="zh-CN"/>
        </w:rPr>
        <w:t>积极</w:t>
      </w:r>
      <w:r>
        <w:rPr>
          <w:rFonts w:hint="eastAsia" w:ascii="仿宋_GB2312" w:eastAsia="仿宋_GB2312"/>
          <w:sz w:val="32"/>
          <w:szCs w:val="32"/>
        </w:rPr>
        <w:t>做好政务舆情收集、研判、处置和回应，主动发声、抓早抓小，做到事事有回应，件件有结果。</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楷体_GB2312" w:hAnsi="黑体" w:eastAsia="楷体_GB2312"/>
          <w:sz w:val="32"/>
          <w:szCs w:val="32"/>
          <w:shd w:val="clear" w:color="auto" w:fill="FFFFFF"/>
        </w:rPr>
      </w:pPr>
      <w:r>
        <w:drawing>
          <wp:inline distT="0" distB="0" distL="114300" distR="114300">
            <wp:extent cx="5273675" cy="3234690"/>
            <wp:effectExtent l="0" t="0" r="3175" b="381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tretch>
                      <a:fillRect/>
                    </a:stretch>
                  </pic:blipFill>
                  <pic:spPr>
                    <a:xfrm>
                      <a:off x="0" y="0"/>
                      <a:ext cx="5273675" cy="3234690"/>
                    </a:xfrm>
                    <a:prstGeom prst="rect">
                      <a:avLst/>
                    </a:prstGeom>
                    <a:noFill/>
                    <a:ln w="9525">
                      <a:noFill/>
                    </a:ln>
                  </pic:spPr>
                </pic:pic>
              </a:graphicData>
            </a:graphic>
          </wp:inline>
        </w:drawing>
      </w:r>
    </w:p>
    <w:p>
      <w:pPr>
        <w:widowControl/>
        <w:spacing w:line="620" w:lineRule="exact"/>
        <w:ind w:firstLine="628"/>
        <w:rPr>
          <w:rFonts w:ascii="楷体_GB2312" w:hAnsi="黑体" w:eastAsia="楷体_GB2312"/>
          <w:sz w:val="32"/>
          <w:szCs w:val="32"/>
          <w:shd w:val="clear" w:color="auto" w:fill="FFFFFF"/>
        </w:rPr>
      </w:pPr>
      <w:r>
        <w:rPr>
          <w:rFonts w:hint="eastAsia" w:ascii="楷体_GB2312" w:hAnsi="黑体" w:eastAsia="楷体_GB2312"/>
          <w:sz w:val="32"/>
          <w:szCs w:val="32"/>
          <w:shd w:val="clear" w:color="auto" w:fill="FFFFFF"/>
        </w:rPr>
        <w:t>（四）创新工作思路，健全日常工作推进机制</w:t>
      </w:r>
    </w:p>
    <w:p>
      <w:pPr>
        <w:spacing w:line="62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创新开展了“政务公开月督查活动”，每月确定1-2个督查内容，全市通报督查结果并跟踪督查发现问题的整改落实情况，确保问题整改到位。</w:t>
      </w:r>
      <w:r>
        <w:rPr>
          <w:rFonts w:hint="eastAsia" w:ascii="仿宋_GB2312" w:hAnsi="仿宋" w:eastAsia="仿宋_GB2312"/>
          <w:sz w:val="32"/>
          <w:szCs w:val="32"/>
        </w:rPr>
        <w:t>2017年</w:t>
      </w:r>
      <w:r>
        <w:rPr>
          <w:rFonts w:hint="eastAsia" w:ascii="仿宋_GB2312" w:hAnsi="仿宋" w:eastAsia="仿宋_GB2312" w:cs="Times New Roman"/>
          <w:sz w:val="32"/>
          <w:szCs w:val="32"/>
        </w:rPr>
        <w:t>，</w:t>
      </w:r>
      <w:r>
        <w:rPr>
          <w:rFonts w:hint="eastAsia" w:ascii="仿宋_GB2312" w:hAnsi="仿宋" w:eastAsia="仿宋_GB2312"/>
          <w:sz w:val="32"/>
          <w:szCs w:val="32"/>
        </w:rPr>
        <w:t>共</w:t>
      </w:r>
      <w:r>
        <w:rPr>
          <w:rFonts w:hint="eastAsia" w:ascii="仿宋_GB2312" w:hAnsi="仿宋" w:eastAsia="仿宋_GB2312" w:cs="Times New Roman"/>
          <w:sz w:val="32"/>
          <w:szCs w:val="32"/>
        </w:rPr>
        <w:t>开展专项督查9次，发现并整改问题100余个。创办《政务公开》刊物，每周1-2期，定期刊发国家、省关于政务公开的决策部署、市内外政务公开经验做法、典型案例分析等内容，搭建起“以学促干、比学赶超”的工作交流平台。</w:t>
      </w:r>
      <w:r>
        <w:rPr>
          <w:rFonts w:hint="eastAsia" w:ascii="仿宋_GB2312" w:hAnsi="仿宋" w:eastAsia="仿宋_GB2312"/>
          <w:sz w:val="32"/>
          <w:szCs w:val="32"/>
        </w:rPr>
        <w:t>2017年</w:t>
      </w:r>
      <w:r>
        <w:rPr>
          <w:rFonts w:hint="eastAsia" w:ascii="仿宋_GB2312" w:hAnsi="仿宋" w:eastAsia="仿宋_GB2312" w:cs="Times New Roman"/>
          <w:sz w:val="32"/>
          <w:szCs w:val="32"/>
        </w:rPr>
        <w:t>，</w:t>
      </w:r>
      <w:r>
        <w:rPr>
          <w:rFonts w:hint="eastAsia" w:ascii="仿宋_GB2312" w:hAnsi="仿宋" w:eastAsia="仿宋_GB2312"/>
          <w:sz w:val="32"/>
          <w:szCs w:val="32"/>
        </w:rPr>
        <w:t>共编发</w:t>
      </w:r>
      <w:r>
        <w:rPr>
          <w:rFonts w:hint="eastAsia" w:ascii="仿宋_GB2312" w:hAnsi="仿宋" w:eastAsia="仿宋_GB2312" w:cs="Times New Roman"/>
          <w:sz w:val="32"/>
          <w:szCs w:val="32"/>
        </w:rPr>
        <w:t>《政务公开》刊物68期。</w:t>
      </w:r>
    </w:p>
    <w:p>
      <w:pPr>
        <w:widowControl/>
        <w:spacing w:line="620" w:lineRule="exact"/>
        <w:ind w:firstLine="628"/>
        <w:rPr>
          <w:rFonts w:ascii="楷体_GB2312" w:hAnsi="黑体" w:eastAsia="楷体_GB2312"/>
          <w:sz w:val="32"/>
          <w:szCs w:val="32"/>
          <w:shd w:val="clear" w:color="auto" w:fill="FFFFFF"/>
        </w:rPr>
      </w:pPr>
      <w:r>
        <w:rPr>
          <w:rFonts w:hint="eastAsia" w:ascii="楷体_GB2312" w:hAnsi="黑体" w:eastAsia="楷体_GB2312"/>
          <w:sz w:val="32"/>
          <w:szCs w:val="32"/>
          <w:shd w:val="clear" w:color="auto" w:fill="FFFFFF"/>
        </w:rPr>
        <w:t>（五）创新培训方式，实现人员培训常态化</w:t>
      </w:r>
    </w:p>
    <w:p>
      <w:pPr>
        <w:spacing w:line="62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在全市开展了政务公开工作集中宣讲月活动，各级各部门</w:t>
      </w:r>
      <w:r>
        <w:rPr>
          <w:rFonts w:hint="eastAsia" w:ascii="仿宋_GB2312" w:hAnsi="楷体" w:eastAsia="仿宋_GB2312" w:cs="Times New Roman"/>
          <w:sz w:val="32"/>
          <w:szCs w:val="32"/>
        </w:rPr>
        <w:t>集中学习了</w:t>
      </w:r>
      <w:r>
        <w:rPr>
          <w:rFonts w:hint="eastAsia" w:ascii="仿宋_GB2312" w:hAnsi="Calibri" w:eastAsia="仿宋_GB2312" w:cs="Times New Roman"/>
          <w:sz w:val="32"/>
          <w:szCs w:val="32"/>
        </w:rPr>
        <w:t>《条例》《办法》等法律法规及本级本部门推进政务公开工作的实施方案、目标任务、落实措施等。</w:t>
      </w:r>
      <w:r>
        <w:rPr>
          <w:rFonts w:hint="eastAsia" w:ascii="仿宋_GB2312" w:hAnsi="仿宋" w:eastAsia="仿宋_GB2312" w:cs="Times New Roman"/>
          <w:sz w:val="32"/>
          <w:szCs w:val="32"/>
        </w:rPr>
        <w:t>探索建立了“以常态化小范围培训促进工作水平提升”培训机制，通过定期召集有关部门、单位工作人员开展有针对性小范围专题培训，学习上级要求，借鉴外地做法，提出下步工作推进措施。强化政务公开业务</w:t>
      </w:r>
      <w:r>
        <w:rPr>
          <w:rFonts w:hint="eastAsia" w:ascii="仿宋_GB2312" w:hAnsi="Calibri" w:eastAsia="仿宋_GB2312" w:cs="Times New Roman"/>
          <w:sz w:val="32"/>
          <w:szCs w:val="32"/>
        </w:rPr>
        <w:t>骨干培训，分别召开了政务公开工作专题培训会、政务公开工作评估考核培训会，对全市各级各部门的业务骨干进行了专题培训。全市各级各部门均采取不同方式，对工作人员进行业务培训，2017年全市各级各部门共举办各类培训班262次、培训人数13589人次。</w:t>
      </w:r>
    </w:p>
    <w:p>
      <w:pPr>
        <w:rPr>
          <w:rFonts w:ascii="楷体_GB2312" w:hAnsi="黑体" w:eastAsia="楷体_GB2312"/>
          <w:sz w:val="32"/>
          <w:szCs w:val="32"/>
          <w:shd w:val="clear" w:color="auto" w:fill="FFFFFF"/>
        </w:rPr>
      </w:pPr>
      <w:r>
        <w:rPr>
          <w:rFonts w:ascii="楷体_GB2312" w:hAnsi="黑体" w:eastAsia="楷体_GB2312"/>
          <w:sz w:val="32"/>
          <w:szCs w:val="32"/>
          <w:shd w:val="clear" w:color="auto" w:fill="FFFFFF"/>
        </w:rPr>
        <w:drawing>
          <wp:inline distT="0" distB="0" distL="0" distR="0">
            <wp:extent cx="5274310" cy="3378835"/>
            <wp:effectExtent l="0" t="0" r="2540" b="12065"/>
            <wp:docPr id="3" name="图片 17" descr="C:\Users\Administrator\Desktop\微信图片_2018032209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C:\Users\Administrator\Desktop\微信图片_20180322095643.jpg"/>
                    <pic:cNvPicPr>
                      <a:picLocks noChangeAspect="1" noChangeArrowheads="1"/>
                    </pic:cNvPicPr>
                  </pic:nvPicPr>
                  <pic:blipFill>
                    <a:blip r:embed="rId11" cstate="print"/>
                    <a:srcRect/>
                    <a:stretch>
                      <a:fillRect/>
                    </a:stretch>
                  </pic:blipFill>
                  <pic:spPr>
                    <a:xfrm>
                      <a:off x="0" y="0"/>
                      <a:ext cx="5274310" cy="3378835"/>
                    </a:xfrm>
                    <a:prstGeom prst="rect">
                      <a:avLst/>
                    </a:prstGeom>
                    <a:noFill/>
                    <a:ln w="9525">
                      <a:noFill/>
                      <a:miter lim="800000"/>
                      <a:headEnd/>
                      <a:tailEnd/>
                    </a:ln>
                  </pic:spPr>
                </pic:pic>
              </a:graphicData>
            </a:graphic>
          </wp:inline>
        </w:drawing>
      </w:r>
    </w:p>
    <w:p>
      <w:pPr>
        <w:widowControl/>
        <w:spacing w:line="620" w:lineRule="exact"/>
        <w:ind w:firstLine="600"/>
        <w:rPr>
          <w:rFonts w:ascii="黑体" w:hAnsi="黑体" w:eastAsia="黑体"/>
          <w:color w:val="3D3D3D"/>
          <w:sz w:val="32"/>
          <w:szCs w:val="32"/>
        </w:rPr>
      </w:pPr>
      <w:r>
        <w:rPr>
          <w:rFonts w:hint="eastAsia" w:ascii="黑体" w:hAnsi="黑体" w:eastAsia="黑体"/>
          <w:color w:val="3D3D3D"/>
          <w:sz w:val="32"/>
          <w:szCs w:val="32"/>
        </w:rPr>
        <w:t>二、主动公开政府信息情况</w:t>
      </w:r>
    </w:p>
    <w:p>
      <w:pPr>
        <w:widowControl/>
        <w:spacing w:line="620" w:lineRule="exact"/>
        <w:ind w:firstLine="600"/>
        <w:rPr>
          <w:rFonts w:ascii="楷体_GB2312" w:eastAsia="楷体_GB2312" w:cs="微软雅黑"/>
          <w:kern w:val="0"/>
          <w:sz w:val="32"/>
          <w:szCs w:val="32"/>
          <w:lang w:val="zh-CN"/>
        </w:rPr>
      </w:pPr>
      <w:r>
        <w:rPr>
          <w:rFonts w:hint="eastAsia" w:ascii="楷体_GB2312" w:eastAsia="楷体_GB2312" w:cs="微软雅黑"/>
          <w:kern w:val="0"/>
          <w:sz w:val="32"/>
          <w:szCs w:val="32"/>
          <w:lang w:val="zh-CN"/>
        </w:rPr>
        <w:t>（一）主动公开信息情况</w:t>
      </w:r>
    </w:p>
    <w:p>
      <w:pPr>
        <w:widowControl/>
        <w:spacing w:line="620" w:lineRule="exact"/>
        <w:ind w:firstLine="640" w:firstLineChars="200"/>
        <w:rPr>
          <w:rFonts w:ascii="仿宋_GB2312" w:eastAsia="仿宋_GB2312" w:cs="微软雅黑"/>
          <w:kern w:val="0"/>
          <w:sz w:val="32"/>
          <w:szCs w:val="32"/>
          <w:lang w:val="zh-CN"/>
        </w:rPr>
      </w:pPr>
      <w:r>
        <w:rPr>
          <w:rFonts w:ascii="仿宋_GB2312" w:eastAsia="仿宋_GB2312" w:cs="微软雅黑"/>
          <w:kern w:val="0"/>
          <w:sz w:val="32"/>
          <w:szCs w:val="32"/>
          <w:lang w:val="zh-CN"/>
        </w:rPr>
        <w:t>2017年，全市各级政府及其部门共主动公开政府信息255332条</w:t>
      </w:r>
      <w:r>
        <w:rPr>
          <w:rFonts w:hint="eastAsia" w:ascii="仿宋_GB2312" w:eastAsia="仿宋_GB2312" w:cs="微软雅黑"/>
          <w:kern w:val="0"/>
          <w:sz w:val="32"/>
          <w:szCs w:val="32"/>
          <w:lang w:val="zh-CN"/>
        </w:rPr>
        <w:t>。</w:t>
      </w:r>
      <w:r>
        <w:rPr>
          <w:rFonts w:ascii="仿宋_GB2312" w:eastAsia="仿宋_GB2312" w:cs="微软雅黑"/>
          <w:kern w:val="0"/>
          <w:sz w:val="32"/>
          <w:szCs w:val="32"/>
          <w:lang w:val="zh-CN"/>
        </w:rPr>
        <w:t>其中，市政府及部门主动公开政府信息82273条，各县市区人民政府、市属各开发区管委会及其部门主动公开政府信息173059条。</w:t>
      </w:r>
    </w:p>
    <w:p>
      <w:pPr>
        <w:spacing w:line="620" w:lineRule="exact"/>
        <w:ind w:firstLine="601"/>
        <w:rPr>
          <w:rFonts w:hint="eastAsia" w:ascii="仿宋_GB2312" w:eastAsia="仿宋_GB2312" w:cs="微软雅黑"/>
          <w:kern w:val="0"/>
          <w:sz w:val="32"/>
          <w:szCs w:val="32"/>
          <w:lang w:val="zh-CN"/>
        </w:rPr>
      </w:pPr>
      <w:r>
        <w:rPr>
          <w:rFonts w:hint="eastAsia" w:ascii="楷体_GB2312" w:eastAsia="楷体_GB2312" w:cs="微软雅黑"/>
          <w:kern w:val="0"/>
          <w:sz w:val="32"/>
          <w:szCs w:val="32"/>
          <w:lang w:val="zh-CN"/>
        </w:rPr>
        <w:t>1.行政权力运行公开。</w:t>
      </w:r>
      <w:r>
        <w:rPr>
          <w:rFonts w:hint="eastAsia" w:ascii="仿宋_GB2312" w:eastAsia="仿宋_GB2312" w:cs="微软雅黑"/>
          <w:kern w:val="0"/>
          <w:sz w:val="32"/>
          <w:szCs w:val="32"/>
          <w:lang w:val="zh-CN"/>
        </w:rPr>
        <w:t>各级各部门积极实行重大行政决策预公开制度，扩大公众参与，对社会关注度高的决策事项，除依法应当保密的外，在决策前及时向社会公开。2017年，潍坊市本级（以下简称市本级）共对80余件重大决策进行了预公开，广泛征求公众的意见，并及时公开了意见的采纳情况。建立健全了利益相关方、公众代表、专家、媒体等列席政府有关会议制度，2017年，潍坊市政府召开的14次常务会议全部进行了公开，并对会议部分议定事项进行了解读。对涉及公众利益、需要社会广泛知晓的30余个电视电话视频会议，除涉及国家秘密的外，积极通过网络、新媒体直播等形式向社会进行了公开。依托潍坊市公开政策信息发布平台，分工业政策、农业政策、服务业政策、科技政策、金融政策等不同的专题梳理汇总后进行了发布，全年共主动发布各类政策800余条。</w:t>
      </w:r>
    </w:p>
    <w:p>
      <w:pPr>
        <w:rPr>
          <w:rFonts w:hint="eastAsia" w:ascii="仿宋_GB2312" w:eastAsia="仿宋_GB2312" w:cs="微软雅黑"/>
          <w:kern w:val="0"/>
          <w:sz w:val="32"/>
          <w:szCs w:val="32"/>
          <w:lang w:val="zh-CN"/>
        </w:rPr>
      </w:pPr>
      <w:r>
        <w:rPr>
          <w:rFonts w:ascii="仿宋_GB2312" w:eastAsia="仿宋_GB2312" w:cs="微软雅黑"/>
          <w:kern w:val="0"/>
          <w:sz w:val="32"/>
          <w:szCs w:val="32"/>
          <w:lang w:val="zh-CN"/>
        </w:rPr>
        <w:drawing>
          <wp:inline distT="0" distB="0" distL="0" distR="0">
            <wp:extent cx="5269230" cy="3257550"/>
            <wp:effectExtent l="19050" t="0" r="6991" b="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noChangeArrowheads="1"/>
                    </pic:cNvPicPr>
                  </pic:nvPicPr>
                  <pic:blipFill>
                    <a:blip r:embed="rId12" cstate="print"/>
                    <a:srcRect/>
                    <a:stretch>
                      <a:fillRect/>
                    </a:stretch>
                  </pic:blipFill>
                  <pic:spPr>
                    <a:xfrm>
                      <a:off x="0" y="0"/>
                      <a:ext cx="5274310" cy="3260783"/>
                    </a:xfrm>
                    <a:prstGeom prst="rect">
                      <a:avLst/>
                    </a:prstGeom>
                    <a:noFill/>
                    <a:ln w="9525">
                      <a:noFill/>
                      <a:miter lim="800000"/>
                      <a:headEnd/>
                      <a:tailEnd/>
                    </a:ln>
                  </pic:spPr>
                </pic:pic>
              </a:graphicData>
            </a:graphic>
          </wp:inline>
        </w:drawing>
      </w:r>
    </w:p>
    <w:p>
      <w:pPr>
        <w:spacing w:line="620" w:lineRule="exact"/>
        <w:ind w:firstLine="640" w:firstLineChars="200"/>
        <w:rPr>
          <w:rFonts w:ascii="仿宋_GB2312" w:eastAsia="仿宋_GB2312" w:cs="微软雅黑"/>
          <w:kern w:val="0"/>
          <w:sz w:val="32"/>
          <w:szCs w:val="32"/>
          <w:lang w:val="zh-CN"/>
        </w:rPr>
      </w:pPr>
      <w:r>
        <w:rPr>
          <w:rFonts w:hint="eastAsia" w:ascii="仿宋_GB2312" w:eastAsia="仿宋_GB2312" w:cs="微软雅黑"/>
          <w:kern w:val="0"/>
          <w:sz w:val="32"/>
          <w:szCs w:val="32"/>
          <w:lang w:val="zh-CN"/>
        </w:rPr>
        <w:t>加大对落实国家、省政府、市政府重大决策及政策部署落实情况及督查情况的公开力度，市本级全年共公开重大决策执行落实情况及督查情况350余件。积极推进重大民生决策事项公开，设立了专门的民意调查公开栏目，及时公开了民意调查结果。市本级全年对有关教育、卫生等40余个活动情况进行了民意调查，对30余个重大行政决策执行情况进行了公开，并及时公开了评估结果。</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640" w:firstLineChars="200"/>
        <w:jc w:val="both"/>
        <w:textAlignment w:val="auto"/>
        <w:outlineLvl w:val="9"/>
        <w:rPr>
          <w:rFonts w:ascii="仿宋_GB2312" w:hAnsi="黑体" w:eastAsia="仿宋_GB2312"/>
          <w:sz w:val="32"/>
          <w:szCs w:val="32"/>
        </w:rPr>
      </w:pPr>
      <w:r>
        <w:rPr>
          <w:rFonts w:hint="eastAsia" w:ascii="楷体_GB2312" w:eastAsia="楷体_GB2312" w:cs="微软雅黑"/>
          <w:kern w:val="0"/>
          <w:sz w:val="32"/>
          <w:szCs w:val="32"/>
          <w:lang w:val="zh-CN"/>
        </w:rPr>
        <w:t>2.“放管服”改革信息公开。</w:t>
      </w:r>
      <w:r>
        <w:rPr>
          <w:rFonts w:hint="eastAsia" w:ascii="仿宋_GB2312" w:hAnsi="黑体" w:eastAsia="仿宋_GB2312" w:cs="Times New Roman"/>
          <w:sz w:val="32"/>
          <w:szCs w:val="32"/>
        </w:rPr>
        <w:t>集中开展了市级行政权力事项和中介服务项目清理规范工作，调整市级行政权力事项共278项，清理市级行政审批中介服务收费事项3项，通过市政府门户网站和市编办网站及时规范公开</w:t>
      </w:r>
      <w:r>
        <w:rPr>
          <w:rFonts w:hint="eastAsia" w:ascii="仿宋_GB2312" w:hAnsi="黑体" w:eastAsia="仿宋_GB2312"/>
          <w:sz w:val="32"/>
          <w:szCs w:val="32"/>
        </w:rPr>
        <w:t>了</w:t>
      </w:r>
      <w:r>
        <w:rPr>
          <w:rFonts w:hint="eastAsia" w:ascii="仿宋_GB2312" w:hAnsi="黑体" w:eastAsia="仿宋_GB2312" w:cs="Times New Roman"/>
          <w:sz w:val="32"/>
          <w:szCs w:val="32"/>
        </w:rPr>
        <w:t>权责清单和中介服务收费事项清单。</w:t>
      </w:r>
      <w:r>
        <w:rPr>
          <w:rFonts w:hint="eastAsia" w:ascii="仿宋_GB2312" w:hAnsi="Calibri" w:eastAsia="仿宋_GB2312" w:cs="Times New Roman"/>
          <w:sz w:val="32"/>
          <w:szCs w:val="32"/>
        </w:rPr>
        <w:t>及时发布职业资格事项清单，</w:t>
      </w:r>
      <w:r>
        <w:rPr>
          <w:rFonts w:hint="eastAsia" w:ascii="仿宋_GB2312" w:eastAsia="仿宋_GB2312"/>
          <w:bCs/>
          <w:sz w:val="32"/>
          <w:szCs w:val="32"/>
        </w:rPr>
        <w:t>公布</w:t>
      </w:r>
      <w:r>
        <w:rPr>
          <w:rFonts w:hint="eastAsia" w:ascii="仿宋_GB2312" w:hAnsi="黑体" w:eastAsia="仿宋_GB2312"/>
          <w:sz w:val="32"/>
          <w:szCs w:val="32"/>
        </w:rPr>
        <w:t>政府定价或政府指导价经营服务性收费目录（2017版），</w:t>
      </w:r>
      <w:r>
        <w:rPr>
          <w:rFonts w:hint="eastAsia" w:ascii="仿宋_GB2312" w:hAnsi="Calibri" w:eastAsia="仿宋_GB2312" w:cs="Times New Roman"/>
          <w:sz w:val="32"/>
          <w:szCs w:val="32"/>
        </w:rPr>
        <w:t>转载发布</w:t>
      </w:r>
      <w:r>
        <w:rPr>
          <w:rFonts w:hint="eastAsia" w:ascii="仿宋_GB2312" w:eastAsia="仿宋_GB2312"/>
          <w:sz w:val="32"/>
          <w:szCs w:val="32"/>
        </w:rPr>
        <w:t>上级</w:t>
      </w:r>
      <w:r>
        <w:rPr>
          <w:rFonts w:hint="eastAsia" w:ascii="仿宋_GB2312" w:hAnsi="Calibri" w:eastAsia="仿宋_GB2312" w:cs="Times New Roman"/>
          <w:sz w:val="32"/>
          <w:szCs w:val="32"/>
        </w:rPr>
        <w:t>工商登记前置审批事项目录和</w:t>
      </w:r>
      <w:r>
        <w:rPr>
          <w:rFonts w:hint="eastAsia" w:ascii="仿宋_GB2312" w:hAnsi="Calibri" w:eastAsia="仿宋_GB2312" w:cs="Times New Roman"/>
          <w:bCs/>
          <w:sz w:val="32"/>
          <w:szCs w:val="32"/>
        </w:rPr>
        <w:t>企业变更登记、注销登记前置审批事项指导</w:t>
      </w:r>
      <w:r>
        <w:rPr>
          <w:rFonts w:hint="eastAsia" w:ascii="仿宋_GB2312" w:hAnsi="黑体" w:eastAsia="仿宋_GB2312" w:cs="Times New Roman"/>
          <w:sz w:val="32"/>
          <w:szCs w:val="32"/>
        </w:rPr>
        <w:t>目录各2次</w:t>
      </w:r>
      <w:r>
        <w:rPr>
          <w:rFonts w:hint="eastAsia" w:ascii="仿宋_GB2312" w:hAnsi="黑体" w:eastAsia="仿宋_GB2312"/>
          <w:sz w:val="32"/>
          <w:szCs w:val="32"/>
        </w:rPr>
        <w:t>、</w:t>
      </w:r>
      <w:r>
        <w:rPr>
          <w:rFonts w:hint="eastAsia" w:ascii="仿宋_GB2312" w:hAnsi="黑体" w:eastAsia="仿宋_GB2312" w:cs="Times New Roman"/>
          <w:sz w:val="32"/>
          <w:szCs w:val="32"/>
        </w:rPr>
        <w:t>山东省工商登记后置许可事项“双告知”目录1次。</w:t>
      </w:r>
    </w:p>
    <w:p>
      <w:pPr>
        <w:pStyle w:val="6"/>
        <w:spacing w:line="620" w:lineRule="exact"/>
        <w:ind w:firstLine="640" w:firstLineChars="200"/>
        <w:jc w:val="both"/>
        <w:rPr>
          <w:rFonts w:ascii="仿宋_GB2312" w:hAnsi="黑体" w:eastAsia="仿宋_GB2312"/>
          <w:sz w:val="32"/>
          <w:szCs w:val="32"/>
        </w:rPr>
      </w:pPr>
      <w:r>
        <w:rPr>
          <w:rFonts w:hint="eastAsia" w:ascii="仿宋_GB2312" w:hAnsi="黑体" w:eastAsia="仿宋_GB2312"/>
          <w:sz w:val="32"/>
          <w:szCs w:val="32"/>
        </w:rPr>
        <w:t>积极</w:t>
      </w:r>
      <w:r>
        <w:rPr>
          <w:rFonts w:hint="eastAsia" w:ascii="仿宋_GB2312" w:hAnsi="黑体" w:eastAsia="仿宋_GB2312"/>
          <w:kern w:val="2"/>
          <w:sz w:val="32"/>
          <w:szCs w:val="32"/>
        </w:rPr>
        <w:t>开展政府规章和规范性文件清理工作</w:t>
      </w:r>
      <w:r>
        <w:rPr>
          <w:rFonts w:hint="eastAsia" w:ascii="仿宋_GB2312" w:hAnsi="黑体" w:eastAsia="仿宋_GB2312"/>
          <w:sz w:val="32"/>
          <w:szCs w:val="32"/>
        </w:rPr>
        <w:t>，</w:t>
      </w:r>
      <w:r>
        <w:rPr>
          <w:rFonts w:hint="eastAsia" w:ascii="仿宋_GB2312" w:hAnsi="黑体" w:eastAsia="仿宋_GB2312"/>
          <w:kern w:val="2"/>
          <w:sz w:val="32"/>
          <w:szCs w:val="32"/>
        </w:rPr>
        <w:t>印发</w:t>
      </w:r>
      <w:r>
        <w:rPr>
          <w:rFonts w:hint="eastAsia" w:ascii="仿宋_GB2312" w:hAnsi="黑体" w:eastAsia="仿宋_GB2312"/>
          <w:sz w:val="32"/>
          <w:szCs w:val="32"/>
        </w:rPr>
        <w:t>了</w:t>
      </w:r>
      <w:r>
        <w:rPr>
          <w:rFonts w:hint="eastAsia" w:ascii="仿宋_GB2312" w:hAnsi="黑体" w:eastAsia="仿宋_GB2312"/>
          <w:kern w:val="2"/>
          <w:sz w:val="32"/>
          <w:szCs w:val="32"/>
        </w:rPr>
        <w:t>《潍坊市人民政府关于公布市政府规章规范性文件清理结果的决定》</w:t>
      </w:r>
      <w:r>
        <w:rPr>
          <w:rFonts w:hint="eastAsia" w:ascii="仿宋_GB2312" w:hAnsi="黑体" w:eastAsia="仿宋_GB2312"/>
          <w:sz w:val="32"/>
          <w:szCs w:val="32"/>
        </w:rPr>
        <w:t>，</w:t>
      </w:r>
      <w:r>
        <w:rPr>
          <w:rFonts w:hint="eastAsia" w:ascii="仿宋_GB2312" w:hAnsi="黑体" w:eastAsia="仿宋_GB2312"/>
          <w:kern w:val="2"/>
          <w:sz w:val="32"/>
          <w:szCs w:val="32"/>
        </w:rPr>
        <w:t>共</w:t>
      </w:r>
      <w:r>
        <w:rPr>
          <w:rFonts w:hint="eastAsia" w:ascii="仿宋_GB2312" w:hAnsi="黑体" w:eastAsia="仿宋_GB2312"/>
          <w:sz w:val="32"/>
          <w:szCs w:val="32"/>
        </w:rPr>
        <w:t>清理</w:t>
      </w:r>
      <w:r>
        <w:rPr>
          <w:rFonts w:hint="eastAsia" w:ascii="仿宋_GB2312" w:hAnsi="黑体" w:eastAsia="仿宋_GB2312"/>
          <w:kern w:val="2"/>
          <w:sz w:val="32"/>
          <w:szCs w:val="32"/>
        </w:rPr>
        <w:t>市政府规章1件、市政府规范性文件128件。公布了潍坊市市级“双随机、一公开”监管随机抽查事项清单，明确了抽查依据、主体、内容、方式等内容，实现“阳光执法”。</w:t>
      </w:r>
      <w:r>
        <w:rPr>
          <w:rFonts w:hint="eastAsia" w:ascii="仿宋_GB2312" w:hAnsi="黑体" w:eastAsia="仿宋_GB2312"/>
          <w:sz w:val="32"/>
          <w:szCs w:val="32"/>
        </w:rPr>
        <w:t>切实做好信用信息公示工作，信用中国（山东潍坊）网站自2013年底上线以来，网站总浏览量已</w:t>
      </w:r>
      <w:r>
        <w:rPr>
          <w:rFonts w:ascii="仿宋_GB2312" w:hAnsi="黑体" w:eastAsia="仿宋_GB2312"/>
          <w:sz w:val="32"/>
          <w:szCs w:val="32"/>
        </w:rPr>
        <w:t>突破400万人次</w:t>
      </w:r>
      <w:r>
        <w:rPr>
          <w:rFonts w:hint="eastAsia" w:ascii="仿宋_GB2312" w:hAnsi="黑体" w:eastAsia="仿宋_GB2312"/>
          <w:sz w:val="32"/>
          <w:szCs w:val="32"/>
        </w:rPr>
        <w:t>，发布信息2000余篇。建立“诚信潍坊”微信公众号，发布信息800余篇。</w:t>
      </w:r>
      <w:r>
        <w:rPr>
          <w:rFonts w:hint="eastAsia" w:ascii="仿宋_GB2312" w:hAnsi="黑体" w:eastAsia="仿宋_GB2312"/>
          <w:kern w:val="2"/>
          <w:sz w:val="32"/>
          <w:szCs w:val="32"/>
        </w:rPr>
        <w:t>信用数据征</w:t>
      </w:r>
      <w:r>
        <w:rPr>
          <w:rFonts w:ascii="仿宋_GB2312" w:hAnsi="黑体" w:eastAsia="仿宋_GB2312"/>
          <w:kern w:val="2"/>
          <w:sz w:val="32"/>
          <w:szCs w:val="32"/>
        </w:rPr>
        <w:t>集共享实现突破</w:t>
      </w:r>
      <w:r>
        <w:rPr>
          <w:rFonts w:hint="eastAsia" w:ascii="仿宋_GB2312" w:hAnsi="黑体" w:eastAsia="仿宋_GB2312"/>
          <w:sz w:val="32"/>
          <w:szCs w:val="32"/>
        </w:rPr>
        <w:t>，</w:t>
      </w:r>
      <w:r>
        <w:rPr>
          <w:rFonts w:ascii="仿宋_GB2312" w:hAnsi="黑体" w:eastAsia="仿宋_GB2312"/>
          <w:sz w:val="32"/>
          <w:szCs w:val="32"/>
        </w:rPr>
        <w:t>已归集到53个部门共1.3亿余条信用信息数据，实现了与省公共信用信息平台数据自动传输</w:t>
      </w:r>
      <w:r>
        <w:rPr>
          <w:rFonts w:hint="eastAsia" w:ascii="仿宋_GB2312" w:hAnsi="黑体" w:eastAsia="仿宋_GB2312"/>
          <w:sz w:val="32"/>
          <w:szCs w:val="32"/>
        </w:rPr>
        <w:t>。</w:t>
      </w:r>
      <w:r>
        <w:rPr>
          <w:rFonts w:ascii="仿宋_GB2312" w:hAnsi="黑体" w:eastAsia="仿宋_GB2312"/>
          <w:sz w:val="32"/>
          <w:szCs w:val="32"/>
        </w:rPr>
        <w:t>在《潍坊日报》等主流媒体公开公示两批严重失信的联合惩戒对象，</w:t>
      </w:r>
      <w:r>
        <w:rPr>
          <w:rFonts w:hint="eastAsia" w:ascii="仿宋_GB2312" w:hAnsi="黑体" w:eastAsia="仿宋_GB2312"/>
          <w:sz w:val="32"/>
          <w:szCs w:val="32"/>
        </w:rPr>
        <w:t>市本级全年</w:t>
      </w:r>
      <w:r>
        <w:rPr>
          <w:rFonts w:ascii="仿宋_GB2312" w:hAnsi="黑体" w:eastAsia="仿宋_GB2312"/>
          <w:sz w:val="32"/>
          <w:szCs w:val="32"/>
        </w:rPr>
        <w:t>共推送5批7532个联合惩戒对象，共实施联合惩戒3万余人次。</w:t>
      </w:r>
    </w:p>
    <w:p>
      <w:pPr>
        <w:pStyle w:val="6"/>
        <w:jc w:val="both"/>
        <w:rPr>
          <w:rFonts w:ascii="仿宋_GB2312" w:hAnsi="黑体" w:eastAsia="仿宋_GB2312"/>
          <w:sz w:val="32"/>
          <w:szCs w:val="32"/>
        </w:rPr>
      </w:pPr>
      <w:r>
        <w:rPr>
          <w:rFonts w:ascii="仿宋_GB2312" w:hAnsi="黑体" w:eastAsia="仿宋_GB2312"/>
          <w:sz w:val="32"/>
          <w:szCs w:val="32"/>
        </w:rPr>
        <w:drawing>
          <wp:inline distT="0" distB="0" distL="0" distR="0">
            <wp:extent cx="5274310" cy="2858770"/>
            <wp:effectExtent l="1905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cstate="print"/>
                    <a:srcRect/>
                    <a:stretch>
                      <a:fillRect/>
                    </a:stretch>
                  </pic:blipFill>
                  <pic:spPr>
                    <a:xfrm>
                      <a:off x="0" y="0"/>
                      <a:ext cx="5274310" cy="2859015"/>
                    </a:xfrm>
                    <a:prstGeom prst="rect">
                      <a:avLst/>
                    </a:prstGeom>
                    <a:noFill/>
                    <a:ln w="9525">
                      <a:noFill/>
                      <a:miter lim="800000"/>
                      <a:headEnd/>
                      <a:tailEnd/>
                    </a:ln>
                  </pic:spPr>
                </pic:pic>
              </a:graphicData>
            </a:graphic>
          </wp:inline>
        </w:drawing>
      </w:r>
    </w:p>
    <w:p>
      <w:pPr>
        <w:pStyle w:val="6"/>
        <w:spacing w:line="620" w:lineRule="exact"/>
        <w:ind w:firstLine="640" w:firstLineChars="200"/>
        <w:jc w:val="both"/>
        <w:rPr>
          <w:rFonts w:ascii="仿宋_GB2312" w:hAnsi="黑体" w:eastAsia="仿宋_GB2312"/>
          <w:sz w:val="32"/>
          <w:szCs w:val="32"/>
        </w:rPr>
      </w:pPr>
      <w:r>
        <w:rPr>
          <w:rFonts w:hint="eastAsia" w:ascii="仿宋_GB2312" w:eastAsia="仿宋_GB2312"/>
          <w:sz w:val="32"/>
          <w:szCs w:val="32"/>
        </w:rPr>
        <w:t>积极推进“互联网+政务服务”，</w:t>
      </w:r>
      <w:r>
        <w:rPr>
          <w:rFonts w:hint="eastAsia" w:ascii="仿宋_GB2312" w:hAnsi="仿宋_GB2312" w:eastAsia="仿宋_GB2312"/>
          <w:sz w:val="32"/>
          <w:szCs w:val="32"/>
          <w:shd w:val="clear" w:color="auto" w:fill="FFFFFF"/>
        </w:rPr>
        <w:t>实现了信息查询、网上咨询、表单下载、远程申报等功能，推动与群众生活密切相关的服务事项上网。除依法应当保密的外，行政许可办理结果在各级政务服务网进行公开。市本级全年公开发布政务服务重点工作信息200余条，每月定期发布办理结果公开信息12次。</w:t>
      </w:r>
      <w:r>
        <w:rPr>
          <w:rFonts w:hint="eastAsia" w:ascii="仿宋_GB2312" w:hAnsi="黑体" w:eastAsia="仿宋_GB2312"/>
          <w:sz w:val="32"/>
          <w:szCs w:val="32"/>
        </w:rPr>
        <w:t>2017年1月率先编制完成市县镇村四级公共服务事项清单和服务指南，市级政府工作部门（单位）的公共服务事项清单共697项，服务指南共310条，并通过市政府门户网站和市编办网站进行了及时公开。县镇村三级公共服务事项清单和服务指南同步在县级政府门户网站公开。</w:t>
      </w:r>
    </w:p>
    <w:p>
      <w:pPr>
        <w:pStyle w:val="6"/>
        <w:jc w:val="center"/>
        <w:rPr>
          <w:rFonts w:ascii="楷体_GB2312" w:eastAsia="楷体_GB2312" w:cs="微软雅黑"/>
          <w:sz w:val="32"/>
          <w:szCs w:val="32"/>
          <w:lang w:val="zh-CN"/>
        </w:rPr>
      </w:pPr>
      <w:r>
        <w:rPr>
          <w:rFonts w:ascii="楷体_GB2312" w:eastAsia="楷体_GB2312" w:cs="微软雅黑"/>
          <w:sz w:val="32"/>
          <w:szCs w:val="32"/>
        </w:rPr>
        <w:drawing>
          <wp:inline distT="0" distB="0" distL="0" distR="0">
            <wp:extent cx="3669030" cy="3296285"/>
            <wp:effectExtent l="19050" t="0" r="7364"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cstate="print"/>
                    <a:srcRect/>
                    <a:stretch>
                      <a:fillRect/>
                    </a:stretch>
                  </pic:blipFill>
                  <pic:spPr>
                    <a:xfrm>
                      <a:off x="0" y="0"/>
                      <a:ext cx="3675541" cy="3302069"/>
                    </a:xfrm>
                    <a:prstGeom prst="rect">
                      <a:avLst/>
                    </a:prstGeom>
                    <a:noFill/>
                    <a:ln w="9525">
                      <a:noFill/>
                      <a:miter lim="800000"/>
                      <a:headEnd/>
                      <a:tailEnd/>
                    </a:ln>
                  </pic:spPr>
                </pic:pic>
              </a:graphicData>
            </a:graphic>
          </wp:inline>
        </w:drawing>
      </w:r>
    </w:p>
    <w:p>
      <w:pPr>
        <w:spacing w:line="620" w:lineRule="exact"/>
        <w:ind w:firstLine="640" w:firstLineChars="200"/>
        <w:rPr>
          <w:rFonts w:ascii="仿宋_GB2312" w:hAnsi="仿宋_GB2312" w:eastAsia="仿宋_GB2312" w:cs="仿宋_GB2312"/>
          <w:sz w:val="32"/>
          <w:szCs w:val="40"/>
        </w:rPr>
      </w:pPr>
      <w:r>
        <w:rPr>
          <w:rFonts w:hint="eastAsia" w:ascii="楷体_GB2312" w:eastAsia="楷体_GB2312" w:cs="微软雅黑"/>
          <w:kern w:val="0"/>
          <w:sz w:val="32"/>
          <w:szCs w:val="32"/>
          <w:lang w:val="zh-CN"/>
        </w:rPr>
        <w:t>3.财税信息公开。</w:t>
      </w:r>
      <w:r>
        <w:rPr>
          <w:rFonts w:hint="eastAsia" w:ascii="仿宋_GB2312" w:hAnsi="宋体" w:eastAsia="仿宋_GB2312" w:cs="宋体"/>
          <w:color w:val="000000"/>
          <w:kern w:val="0"/>
          <w:sz w:val="32"/>
          <w:szCs w:val="32"/>
        </w:rPr>
        <w:t>建立了全市统一的财政预决算公开平台，对市本级117家使用财政资金部门的预决算、“三公”经费等信息全部进行公开，接受社会监督。</w:t>
      </w:r>
      <w:r>
        <w:rPr>
          <w:rFonts w:hint="eastAsia" w:ascii="仿宋_GB2312" w:hAnsi="仿宋_GB2312" w:eastAsia="仿宋_GB2312" w:cs="仿宋_GB2312"/>
          <w:sz w:val="32"/>
          <w:szCs w:val="40"/>
        </w:rPr>
        <w:t>市级政府、部门预决算全部公开到支出功能分类项级科目，市级对下专项转移支付预决算全部公开到具体项目。分地区税收返还、一般性转移支付和专项转移支付全面进行公开。按月公开财政收支情况，按季度</w:t>
      </w:r>
      <w:r>
        <w:rPr>
          <w:rFonts w:hint="eastAsia" w:ascii="仿宋_GB2312" w:eastAsia="仿宋_GB2312"/>
          <w:sz w:val="32"/>
        </w:rPr>
        <w:t>解读财政收支增减变化情况及原因，预判财政收支走势，主动解释说明可能引发社会关注的热点问题。</w:t>
      </w:r>
      <w:r>
        <w:rPr>
          <w:rFonts w:hint="eastAsia" w:ascii="仿宋_GB2312" w:hAnsi="仿宋_GB2312" w:eastAsia="仿宋_GB2312" w:cs="仿宋_GB2312"/>
          <w:sz w:val="32"/>
          <w:szCs w:val="40"/>
        </w:rPr>
        <w:t>及时公布本级政府债务种类、规模、结构和使用、偿还情况，维护群众知情权，防范政府债务风险。</w:t>
      </w:r>
    </w:p>
    <w:p>
      <w:pPr>
        <w:rPr>
          <w:rFonts w:ascii="仿宋_GB2312" w:hAnsi="仿宋_GB2312" w:eastAsia="仿宋_GB2312" w:cs="仿宋_GB2312"/>
          <w:sz w:val="32"/>
          <w:szCs w:val="40"/>
        </w:rPr>
      </w:pPr>
      <w:r>
        <w:rPr>
          <w:rFonts w:ascii="仿宋_GB2312" w:hAnsi="仿宋_GB2312" w:eastAsia="仿宋_GB2312" w:cs="仿宋_GB2312"/>
          <w:sz w:val="32"/>
          <w:szCs w:val="40"/>
        </w:rPr>
        <w:drawing>
          <wp:inline distT="0" distB="0" distL="0" distR="0">
            <wp:extent cx="5274310" cy="4362450"/>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srcRect/>
                    <a:stretch>
                      <a:fillRect/>
                    </a:stretch>
                  </pic:blipFill>
                  <pic:spPr>
                    <a:xfrm>
                      <a:off x="0" y="0"/>
                      <a:ext cx="5274310" cy="4362540"/>
                    </a:xfrm>
                    <a:prstGeom prst="rect">
                      <a:avLst/>
                    </a:prstGeom>
                    <a:noFill/>
                    <a:ln w="9525">
                      <a:noFill/>
                      <a:miter lim="800000"/>
                      <a:headEnd/>
                      <a:tailEnd/>
                    </a:ln>
                  </pic:spPr>
                </pic:pic>
              </a:graphicData>
            </a:graphic>
          </wp:inline>
        </w:drawing>
      </w:r>
    </w:p>
    <w:p>
      <w:pPr>
        <w:spacing w:line="620" w:lineRule="exact"/>
        <w:ind w:firstLine="640" w:firstLineChars="200"/>
        <w:rPr>
          <w:rFonts w:ascii="仿宋_GB2312" w:eastAsia="仿宋_GB2312"/>
          <w:sz w:val="32"/>
          <w:szCs w:val="32"/>
        </w:rPr>
      </w:pPr>
      <w:r>
        <w:rPr>
          <w:rFonts w:hint="eastAsia" w:ascii="仿宋_GB2312" w:hAnsi="仿宋_GB2312" w:eastAsia="仿宋_GB2312" w:cs="仿宋_GB2312"/>
          <w:sz w:val="32"/>
          <w:szCs w:val="40"/>
        </w:rPr>
        <w:t>及时公开了2016年度市级预算执行及其他财政收支的审计工作报告，并从审计工作开展的基本情况、审计工作报告的主要特点等方面对报告进行解读。加大审计整改情况公开力度，公开发布了2015年度审计发现问题整改</w:t>
      </w:r>
      <w:r>
        <w:rPr>
          <w:rFonts w:hint="eastAsia" w:ascii="仿宋_GB2312" w:eastAsia="仿宋_GB2312"/>
          <w:sz w:val="32"/>
          <w:szCs w:val="32"/>
        </w:rPr>
        <w:t>情况结果公告，共包括市级财政管理审计整改情况、税收征管审计整改情况等11个方面的内容。</w:t>
      </w:r>
      <w:r>
        <w:rPr>
          <w:rFonts w:hint="eastAsia" w:ascii="仿宋_GB2312" w:hAnsi="仿宋_GB2312" w:eastAsia="仿宋_GB2312" w:cs="仿宋_GB2312"/>
          <w:sz w:val="32"/>
          <w:szCs w:val="40"/>
        </w:rPr>
        <w:t>公开了2016年重点专项审计和审计调查情况结果公告，重点公开了医疗保险基金审计、保障性安居</w:t>
      </w:r>
      <w:r>
        <w:rPr>
          <w:rFonts w:hint="eastAsia" w:ascii="仿宋_GB2312" w:eastAsia="仿宋_GB2312"/>
          <w:sz w:val="32"/>
          <w:szCs w:val="32"/>
        </w:rPr>
        <w:t>工程跟踪审计以及精准扶贫政策落实审计调查所发现的主要问题。</w:t>
      </w:r>
    </w:p>
    <w:p>
      <w:pPr>
        <w:pStyle w:val="6"/>
        <w:widowControl w:val="0"/>
        <w:spacing w:line="620" w:lineRule="exact"/>
        <w:ind w:firstLine="640" w:firstLineChars="200"/>
        <w:jc w:val="both"/>
        <w:rPr>
          <w:rFonts w:ascii="仿宋_GB2312" w:eastAsia="仿宋_GB2312"/>
          <w:sz w:val="32"/>
          <w:szCs w:val="32"/>
        </w:rPr>
      </w:pPr>
      <w:r>
        <w:rPr>
          <w:rFonts w:hint="eastAsia" w:ascii="仿宋_GB2312" w:eastAsia="仿宋_GB2312" w:hAnsiTheme="minorHAnsi" w:cstheme="minorBidi"/>
          <w:kern w:val="2"/>
          <w:sz w:val="32"/>
          <w:szCs w:val="32"/>
        </w:rPr>
        <w:t>全力做好统计信息公开工作，及时发布统计数据和经济运行情况</w:t>
      </w:r>
      <w:r>
        <w:rPr>
          <w:rFonts w:hint="eastAsia" w:ascii="仿宋_GB2312" w:eastAsia="仿宋_GB2312" w:hAnsiTheme="minorHAnsi" w:cstheme="minorBidi"/>
          <w:sz w:val="32"/>
          <w:szCs w:val="32"/>
        </w:rPr>
        <w:t>，满足了社会公众获取统计资料的需求</w:t>
      </w:r>
      <w:r>
        <w:rPr>
          <w:rFonts w:hint="eastAsia" w:ascii="仿宋_GB2312" w:eastAsia="仿宋_GB2312"/>
          <w:sz w:val="32"/>
          <w:szCs w:val="32"/>
        </w:rPr>
        <w:t>。召开了2017年</w:t>
      </w:r>
      <w:r>
        <w:rPr>
          <w:rFonts w:hint="eastAsia" w:ascii="仿宋_GB2312" w:eastAsia="仿宋_GB2312" w:hAnsiTheme="minorHAnsi" w:cstheme="minorBidi"/>
          <w:kern w:val="2"/>
          <w:sz w:val="32"/>
          <w:szCs w:val="32"/>
        </w:rPr>
        <w:t>上半年全市经济运行情况</w:t>
      </w:r>
      <w:r>
        <w:rPr>
          <w:rFonts w:hint="eastAsia" w:ascii="仿宋_GB2312" w:eastAsia="仿宋_GB2312"/>
          <w:sz w:val="32"/>
          <w:szCs w:val="32"/>
        </w:rPr>
        <w:t>新闻发布会</w:t>
      </w:r>
      <w:r>
        <w:rPr>
          <w:rFonts w:hint="eastAsia" w:ascii="仿宋_GB2312" w:eastAsia="仿宋_GB2312" w:hAnsiTheme="minorHAnsi" w:cstheme="minorBidi"/>
          <w:kern w:val="2"/>
          <w:sz w:val="32"/>
          <w:szCs w:val="32"/>
        </w:rPr>
        <w:t>，</w:t>
      </w:r>
      <w:r>
        <w:rPr>
          <w:rFonts w:hint="eastAsia" w:ascii="仿宋_GB2312" w:eastAsia="仿宋_GB2312"/>
          <w:sz w:val="32"/>
          <w:szCs w:val="32"/>
        </w:rPr>
        <w:t>从农业、工业、贸易、投资等九个方面详细通报了上半年经济运行情况。围绕营改增相关政策措施、操作办法、改革进展及成效等，加大营改增、征管改革等信息公开力度，市本级全年公开营改增相关政策措施等信息近百条，及时</w:t>
      </w:r>
      <w:r>
        <w:rPr>
          <w:rFonts w:hint="eastAsia" w:ascii="仿宋_GB2312" w:hAnsi="Calibri" w:eastAsia="仿宋_GB2312" w:cs="Times New Roman"/>
          <w:sz w:val="32"/>
          <w:szCs w:val="32"/>
        </w:rPr>
        <w:t>公开税收数据、税收执法等税收信息</w:t>
      </w:r>
      <w:r>
        <w:rPr>
          <w:rFonts w:hint="eastAsia" w:ascii="仿宋_GB2312" w:eastAsia="仿宋_GB2312"/>
          <w:sz w:val="32"/>
          <w:szCs w:val="32"/>
        </w:rPr>
        <w:t>1000余</w:t>
      </w:r>
      <w:r>
        <w:rPr>
          <w:rFonts w:hint="eastAsia" w:ascii="仿宋_GB2312" w:hAnsi="Calibri" w:eastAsia="仿宋_GB2312" w:cs="Times New Roman"/>
          <w:sz w:val="32"/>
          <w:szCs w:val="32"/>
        </w:rPr>
        <w:t>条</w:t>
      </w:r>
      <w:r>
        <w:rPr>
          <w:rFonts w:hint="eastAsia" w:ascii="仿宋_GB2312" w:eastAsia="仿宋_GB2312"/>
          <w:sz w:val="32"/>
          <w:szCs w:val="32"/>
        </w:rPr>
        <w:t>，便于广大纳税人和社会公众了解税收数据、税收执法等信息。</w:t>
      </w:r>
    </w:p>
    <w:p>
      <w:pPr>
        <w:pStyle w:val="6"/>
        <w:widowControl w:val="0"/>
        <w:jc w:val="both"/>
        <w:rPr>
          <w:rFonts w:ascii="楷体_GB2312" w:eastAsia="楷体_GB2312" w:cs="微软雅黑"/>
          <w:sz w:val="32"/>
          <w:szCs w:val="32"/>
          <w:lang w:val="zh-CN"/>
        </w:rPr>
      </w:pPr>
      <w:r>
        <w:rPr>
          <w:rFonts w:ascii="楷体_GB2312" w:eastAsia="楷体_GB2312" w:cs="微软雅黑"/>
          <w:sz w:val="32"/>
          <w:szCs w:val="32"/>
        </w:rPr>
        <w:drawing>
          <wp:inline distT="0" distB="0" distL="0" distR="0">
            <wp:extent cx="5274310" cy="2879090"/>
            <wp:effectExtent l="1905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cstate="print"/>
                    <a:srcRect/>
                    <a:stretch>
                      <a:fillRect/>
                    </a:stretch>
                  </pic:blipFill>
                  <pic:spPr>
                    <a:xfrm>
                      <a:off x="0" y="0"/>
                      <a:ext cx="5274310" cy="2879652"/>
                    </a:xfrm>
                    <a:prstGeom prst="rect">
                      <a:avLst/>
                    </a:prstGeom>
                    <a:noFill/>
                    <a:ln w="9525">
                      <a:noFill/>
                      <a:miter lim="800000"/>
                      <a:headEnd/>
                      <a:tailEnd/>
                    </a:ln>
                  </pic:spPr>
                </pic:pic>
              </a:graphicData>
            </a:graphic>
          </wp:inline>
        </w:drawing>
      </w:r>
    </w:p>
    <w:p>
      <w:pPr>
        <w:widowControl/>
        <w:spacing w:line="620" w:lineRule="exact"/>
        <w:ind w:firstLine="600"/>
        <w:rPr>
          <w:rFonts w:ascii="仿宋_GB2312" w:hAnsi="仿宋_GB2312" w:eastAsia="仿宋_GB2312"/>
          <w:sz w:val="32"/>
          <w:szCs w:val="32"/>
          <w:shd w:val="clear" w:color="auto" w:fill="FFFFFF"/>
        </w:rPr>
      </w:pPr>
      <w:r>
        <w:rPr>
          <w:rFonts w:hint="eastAsia" w:ascii="楷体_GB2312" w:eastAsia="楷体_GB2312" w:cs="微软雅黑"/>
          <w:kern w:val="0"/>
          <w:sz w:val="32"/>
          <w:szCs w:val="32"/>
          <w:lang w:val="zh-CN"/>
        </w:rPr>
        <w:t>4.重大建设项目与公共资源配置信息公开。</w:t>
      </w:r>
      <w:r>
        <w:rPr>
          <w:rFonts w:hint="eastAsia" w:eastAsia="仿宋_GB2312"/>
          <w:sz w:val="32"/>
          <w:szCs w:val="32"/>
        </w:rPr>
        <w:t>积极</w:t>
      </w:r>
      <w:r>
        <w:rPr>
          <w:rFonts w:eastAsia="仿宋_GB2312"/>
          <w:sz w:val="32"/>
          <w:szCs w:val="32"/>
        </w:rPr>
        <w:t>推进重大建设项目审批及建设信息公开</w:t>
      </w:r>
      <w:r>
        <w:rPr>
          <w:rFonts w:hint="eastAsia" w:ascii="仿宋_GB2312" w:eastAsia="仿宋_GB2312"/>
          <w:sz w:val="32"/>
          <w:szCs w:val="32"/>
        </w:rPr>
        <w:t>，对于纳入年度重点工程计划的政府投资项目，切实做好审批、核准、备案等结果公开，定期公开了招投标违法行为处罚信息。市本级全年及时公开</w:t>
      </w:r>
      <w:r>
        <w:rPr>
          <w:rFonts w:ascii="仿宋_GB2312" w:eastAsia="仿宋_GB2312"/>
          <w:sz w:val="32"/>
          <w:szCs w:val="32"/>
        </w:rPr>
        <w:t>20</w:t>
      </w:r>
      <w:r>
        <w:rPr>
          <w:rFonts w:hint="eastAsia" w:ascii="仿宋_GB2312" w:eastAsia="仿宋_GB2312"/>
          <w:sz w:val="32"/>
          <w:szCs w:val="32"/>
        </w:rPr>
        <w:t>0余</w:t>
      </w:r>
      <w:r>
        <w:rPr>
          <w:rFonts w:ascii="仿宋_GB2312" w:eastAsia="仿宋_GB2312"/>
          <w:sz w:val="32"/>
          <w:szCs w:val="32"/>
        </w:rPr>
        <w:t>个</w:t>
      </w:r>
      <w:r>
        <w:rPr>
          <w:rFonts w:hint="eastAsia" w:ascii="仿宋_GB2312" w:eastAsia="仿宋_GB2312"/>
          <w:sz w:val="32"/>
          <w:szCs w:val="32"/>
        </w:rPr>
        <w:t>重大建设</w:t>
      </w:r>
      <w:r>
        <w:rPr>
          <w:rFonts w:ascii="仿宋_GB2312" w:eastAsia="仿宋_GB2312"/>
          <w:sz w:val="32"/>
          <w:szCs w:val="32"/>
        </w:rPr>
        <w:t>项目</w:t>
      </w:r>
      <w:r>
        <w:rPr>
          <w:rFonts w:hint="eastAsia" w:ascii="仿宋_GB2312" w:eastAsia="仿宋_GB2312"/>
          <w:sz w:val="32"/>
          <w:szCs w:val="32"/>
        </w:rPr>
        <w:t>的项目名称、申请人、主要建设内容等。</w:t>
      </w:r>
      <w:r>
        <w:rPr>
          <w:rFonts w:hint="eastAsia" w:ascii="仿宋_GB2312" w:hAnsi="仿宋_GB2312" w:eastAsia="仿宋_GB2312" w:cs="仿宋_GB2312"/>
          <w:sz w:val="32"/>
          <w:szCs w:val="40"/>
        </w:rPr>
        <w:t>设立了政府和社会资本合作专栏，及时公开相关法律法规、政策文件、项目进展、典型案例等信息。</w:t>
      </w:r>
      <w:r>
        <w:rPr>
          <w:rFonts w:hint="eastAsia" w:ascii="仿宋_GB2312" w:hAnsi="仿宋_GB2312" w:eastAsia="仿宋_GB2312"/>
          <w:sz w:val="32"/>
          <w:szCs w:val="32"/>
          <w:shd w:val="clear" w:color="auto" w:fill="FFFFFF"/>
        </w:rPr>
        <w:t>依托全市统一的公共资源交易平台，探索开发了手机APP，远程异地评标等功能，实现公共资源交易全程电子化。2017年，市本级共通过手机APP、网站等公开公共资源交易公告、资格审查信息、交易过程信息以及成交信息14500余条。</w:t>
      </w:r>
      <w:r>
        <w:rPr>
          <w:rFonts w:hint="eastAsia" w:ascii="仿宋_GB2312" w:hAnsi="仿宋_GB2312" w:eastAsia="仿宋_GB2312" w:cs="仿宋_GB2312"/>
          <w:sz w:val="32"/>
          <w:szCs w:val="40"/>
        </w:rPr>
        <w:t>根据清华大学发布数据</w:t>
      </w:r>
      <w:r>
        <w:rPr>
          <w:rFonts w:hint="eastAsia" w:ascii="仿宋_GB2312" w:hAnsi="仿宋_GB2312" w:eastAsia="仿宋_GB2312" w:cs="仿宋_GB2312"/>
          <w:sz w:val="32"/>
          <w:szCs w:val="40"/>
          <w:lang w:eastAsia="zh-CN"/>
        </w:rPr>
        <w:t>显示</w:t>
      </w:r>
      <w:r>
        <w:rPr>
          <w:rFonts w:hint="eastAsia" w:ascii="仿宋_GB2312" w:hAnsi="仿宋_GB2312" w:eastAsia="仿宋_GB2312" w:cs="仿宋_GB2312"/>
          <w:sz w:val="32"/>
          <w:szCs w:val="40"/>
        </w:rPr>
        <w:t>，2017年潍坊市PPP发展环境指数位列全国第11位、地级市第2位。</w:t>
      </w:r>
    </w:p>
    <w:p>
      <w:pPr>
        <w:rPr>
          <w:rFonts w:ascii="仿宋_GB2312" w:eastAsia="仿宋_GB2312"/>
          <w:sz w:val="32"/>
          <w:szCs w:val="32"/>
        </w:rPr>
      </w:pPr>
      <w:r>
        <w:rPr>
          <w:rFonts w:ascii="仿宋_GB2312" w:eastAsia="仿宋_GB2312"/>
          <w:sz w:val="32"/>
          <w:szCs w:val="32"/>
        </w:rPr>
        <w:drawing>
          <wp:inline distT="0" distB="0" distL="0" distR="0">
            <wp:extent cx="5274310" cy="394779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7" cstate="print"/>
                    <a:srcRect/>
                    <a:stretch>
                      <a:fillRect/>
                    </a:stretch>
                  </pic:blipFill>
                  <pic:spPr>
                    <a:xfrm>
                      <a:off x="0" y="0"/>
                      <a:ext cx="5274310" cy="3948214"/>
                    </a:xfrm>
                    <a:prstGeom prst="rect">
                      <a:avLst/>
                    </a:prstGeom>
                    <a:noFill/>
                    <a:ln w="9525">
                      <a:noFill/>
                      <a:miter lim="800000"/>
                      <a:headEnd/>
                      <a:tailEnd/>
                    </a:ln>
                  </pic:spPr>
                </pic:pic>
              </a:graphicData>
            </a:graphic>
          </wp:inline>
        </w:drawing>
      </w:r>
    </w:p>
    <w:p>
      <w:pPr>
        <w:widowControl/>
        <w:spacing w:line="620" w:lineRule="exact"/>
        <w:ind w:firstLine="600"/>
        <w:rPr>
          <w:rFonts w:ascii="仿宋_GB2312" w:eastAsia="仿宋_GB2312"/>
          <w:color w:val="000000"/>
          <w:sz w:val="32"/>
          <w:szCs w:val="32"/>
        </w:rPr>
      </w:pPr>
      <w:r>
        <w:rPr>
          <w:rFonts w:hint="eastAsia" w:ascii="楷体_GB2312" w:eastAsia="楷体_GB2312" w:cs="微软雅黑"/>
          <w:kern w:val="0"/>
          <w:sz w:val="32"/>
          <w:szCs w:val="32"/>
          <w:lang w:val="zh-CN"/>
        </w:rPr>
        <w:t>5.减税、降费、降低要素成本信息公开。</w:t>
      </w:r>
      <w:r>
        <w:rPr>
          <w:rFonts w:hint="eastAsia" w:ascii="仿宋_GB2312" w:hAnsi="仿宋_GB2312" w:eastAsia="仿宋_GB2312" w:cs="仿宋_GB2312"/>
          <w:sz w:val="32"/>
          <w:szCs w:val="40"/>
        </w:rPr>
        <w:t>设立了税收优惠政策专栏，</w:t>
      </w:r>
      <w:r>
        <w:rPr>
          <w:rFonts w:hint="eastAsia" w:ascii="仿宋_GB2312" w:eastAsia="仿宋_GB2312"/>
          <w:sz w:val="32"/>
          <w:szCs w:val="32"/>
        </w:rPr>
        <w:t>积极转载国家税务总局等税收优惠政策信息，市本级全年共</w:t>
      </w:r>
      <w:r>
        <w:rPr>
          <w:rFonts w:hint="eastAsia" w:ascii="仿宋_GB2312" w:hAnsi="仿宋_GB2312" w:eastAsia="仿宋_GB2312" w:cs="仿宋_GB2312"/>
          <w:sz w:val="32"/>
          <w:szCs w:val="40"/>
        </w:rPr>
        <w:t>转发、发布减税降费政策措施、创新创业等优惠政策40余条。</w:t>
      </w:r>
      <w:r>
        <w:rPr>
          <w:rFonts w:ascii="仿宋_GB2312" w:hAnsi="Calibri" w:eastAsia="仿宋_GB2312" w:cs="Times New Roman"/>
          <w:sz w:val="32"/>
          <w:szCs w:val="32"/>
        </w:rPr>
        <w:t>应用</w:t>
      </w:r>
      <w:r>
        <w:rPr>
          <w:rFonts w:hint="eastAsia" w:ascii="仿宋_GB2312" w:eastAsia="仿宋_GB2312"/>
          <w:sz w:val="32"/>
          <w:szCs w:val="32"/>
        </w:rPr>
        <w:t>“</w:t>
      </w:r>
      <w:r>
        <w:rPr>
          <w:rFonts w:ascii="仿宋_GB2312" w:hAnsi="Calibri" w:eastAsia="仿宋_GB2312" w:cs="Times New Roman"/>
          <w:sz w:val="32"/>
          <w:szCs w:val="32"/>
        </w:rPr>
        <w:t>潍坊地税微服务</w:t>
      </w:r>
      <w:r>
        <w:rPr>
          <w:rFonts w:hint="eastAsia" w:ascii="仿宋_GB2312" w:eastAsia="仿宋_GB2312"/>
          <w:sz w:val="32"/>
          <w:szCs w:val="32"/>
        </w:rPr>
        <w:t>”</w:t>
      </w:r>
      <w:r>
        <w:rPr>
          <w:rFonts w:ascii="仿宋_GB2312" w:hAnsi="Calibri" w:eastAsia="仿宋_GB2312" w:cs="Times New Roman"/>
          <w:sz w:val="32"/>
          <w:szCs w:val="32"/>
        </w:rPr>
        <w:t>微信平台，对最新税收政策及其解读及时予以发布，2017年共推送信息7</w:t>
      </w:r>
      <w:r>
        <w:rPr>
          <w:rFonts w:hint="eastAsia" w:ascii="仿宋_GB2312" w:hAnsi="Calibri" w:eastAsia="仿宋_GB2312" w:cs="Times New Roman"/>
          <w:sz w:val="32"/>
          <w:szCs w:val="32"/>
        </w:rPr>
        <w:t>000余</w:t>
      </w:r>
      <w:r>
        <w:rPr>
          <w:rFonts w:ascii="仿宋_GB2312" w:hAnsi="Calibri" w:eastAsia="仿宋_GB2312" w:cs="Times New Roman"/>
          <w:sz w:val="32"/>
          <w:szCs w:val="32"/>
        </w:rPr>
        <w:t>条、互动50</w:t>
      </w:r>
      <w:r>
        <w:rPr>
          <w:rFonts w:hint="eastAsia" w:ascii="仿宋_GB2312" w:hAnsi="Calibri" w:eastAsia="仿宋_GB2312" w:cs="Times New Roman"/>
          <w:sz w:val="32"/>
          <w:szCs w:val="32"/>
        </w:rPr>
        <w:t>00余</w:t>
      </w:r>
      <w:r>
        <w:rPr>
          <w:rFonts w:ascii="仿宋_GB2312" w:hAnsi="Calibri" w:eastAsia="仿宋_GB2312" w:cs="Times New Roman"/>
          <w:sz w:val="32"/>
          <w:szCs w:val="32"/>
        </w:rPr>
        <w:t>人次</w:t>
      </w:r>
      <w:r>
        <w:rPr>
          <w:rFonts w:hint="eastAsia" w:ascii="仿宋_GB2312" w:eastAsia="仿宋_GB2312"/>
          <w:sz w:val="32"/>
          <w:szCs w:val="32"/>
        </w:rPr>
        <w:t>。</w:t>
      </w:r>
      <w:r>
        <w:rPr>
          <w:rFonts w:ascii="仿宋_GB2312" w:hAnsi="Calibri" w:eastAsia="仿宋_GB2312" w:cs="Times New Roman"/>
          <w:sz w:val="32"/>
          <w:szCs w:val="32"/>
        </w:rPr>
        <w:t>举办税收访谈直播节目10期，由税收业务骨干对纳税人关心的税收话题进行讲解</w:t>
      </w:r>
      <w:r>
        <w:rPr>
          <w:rFonts w:hint="eastAsia" w:ascii="仿宋_GB2312" w:hAnsi="Calibri" w:eastAsia="仿宋_GB2312" w:cs="Times New Roman"/>
          <w:sz w:val="32"/>
          <w:szCs w:val="32"/>
        </w:rPr>
        <w:t>，并累计</w:t>
      </w:r>
      <w:r>
        <w:rPr>
          <w:rFonts w:hint="eastAsia" w:ascii="仿宋_GB2312" w:eastAsia="仿宋_GB2312"/>
          <w:sz w:val="32"/>
          <w:szCs w:val="32"/>
        </w:rPr>
        <w:t>向社会</w:t>
      </w:r>
      <w:r>
        <w:rPr>
          <w:rFonts w:hint="eastAsia" w:ascii="仿宋_GB2312" w:hAnsi="Calibri" w:eastAsia="仿宋_GB2312" w:cs="Times New Roman"/>
          <w:sz w:val="32"/>
          <w:szCs w:val="32"/>
        </w:rPr>
        <w:t>发放《就业创业税收优惠政策汇编》1万余册。</w:t>
      </w:r>
      <w:r>
        <w:rPr>
          <w:rFonts w:hint="eastAsia" w:ascii="仿宋_GB2312" w:hAnsi="仿宋_GB2312" w:eastAsia="仿宋_GB2312" w:cs="仿宋_GB2312"/>
          <w:sz w:val="32"/>
          <w:szCs w:val="40"/>
        </w:rPr>
        <w:t>及时公布了市级行政事业性收费、涉企行政事业性收费、政府性基金目录清单及考试费目录4张清单。</w:t>
      </w:r>
      <w:r>
        <w:rPr>
          <w:rFonts w:hint="eastAsia" w:ascii="仿宋_GB2312" w:eastAsia="仿宋_GB2312"/>
          <w:sz w:val="32"/>
          <w:szCs w:val="32"/>
        </w:rPr>
        <w:t>积极公开清单之外乱收费、乱摊派等行为的查处结果，主动接受社会监督。</w:t>
      </w:r>
      <w:r>
        <w:rPr>
          <w:rFonts w:hint="eastAsia" w:ascii="仿宋_GB2312" w:hAnsi="仿宋_GB2312" w:eastAsia="仿宋_GB2312" w:cs="仿宋_GB2312"/>
          <w:sz w:val="32"/>
          <w:szCs w:val="32"/>
        </w:rPr>
        <w:t>及时</w:t>
      </w:r>
      <w:r>
        <w:rPr>
          <w:rFonts w:hint="eastAsia" w:ascii="仿宋_GB2312" w:eastAsia="仿宋_GB2312"/>
          <w:color w:val="000000"/>
          <w:sz w:val="32"/>
          <w:szCs w:val="32"/>
        </w:rPr>
        <w:t>向社会主动公开经办依据及流程，定期公布了社会保险参保情况和社保基金收入、支出、结余、预算等情况</w:t>
      </w:r>
      <w:r>
        <w:rPr>
          <w:rFonts w:hint="eastAsia" w:ascii="仿宋_GB2312" w:hAnsi="Calibri" w:eastAsia="仿宋_GB2312" w:cs="Times New Roman"/>
          <w:color w:val="000000"/>
          <w:sz w:val="32"/>
          <w:szCs w:val="32"/>
        </w:rPr>
        <w:t>，</w:t>
      </w:r>
      <w:r>
        <w:rPr>
          <w:rFonts w:hint="eastAsia" w:ascii="仿宋_GB2312" w:eastAsia="仿宋_GB2312"/>
          <w:color w:val="000000"/>
          <w:sz w:val="32"/>
          <w:szCs w:val="32"/>
        </w:rPr>
        <w:t>适时公布了阶段性降低社会保险费率的执行情况，</w:t>
      </w:r>
      <w:r>
        <w:rPr>
          <w:rFonts w:hint="eastAsia" w:ascii="仿宋_GB2312" w:hAnsi="仿宋_GB2312" w:eastAsia="仿宋_GB2312"/>
          <w:sz w:val="32"/>
          <w:szCs w:val="32"/>
          <w:shd w:val="clear" w:color="auto" w:fill="FFFFFF"/>
        </w:rPr>
        <w:t>市本级全年共发布社会保险信息20余条</w:t>
      </w:r>
      <w:r>
        <w:rPr>
          <w:rFonts w:hint="eastAsia" w:ascii="仿宋_GB2312" w:hAnsi="Calibri" w:eastAsia="仿宋_GB2312" w:cs="Times New Roman"/>
          <w:color w:val="000000"/>
          <w:sz w:val="32"/>
          <w:szCs w:val="32"/>
        </w:rPr>
        <w:t>。</w:t>
      </w:r>
    </w:p>
    <w:p>
      <w:pPr>
        <w:widowControl/>
        <w:spacing w:line="620" w:lineRule="exact"/>
        <w:ind w:firstLine="600"/>
        <w:rPr>
          <w:rFonts w:ascii="仿宋_GB2312" w:eastAsia="仿宋_GB2312"/>
          <w:sz w:val="32"/>
          <w:szCs w:val="32"/>
        </w:rPr>
      </w:pPr>
      <w:r>
        <w:rPr>
          <w:rFonts w:hint="eastAsia" w:ascii="楷体_GB2312" w:eastAsia="楷体_GB2312" w:cs="微软雅黑"/>
          <w:kern w:val="0"/>
          <w:sz w:val="32"/>
          <w:szCs w:val="32"/>
          <w:lang w:val="zh-CN"/>
        </w:rPr>
        <w:t>6.产业结构调整信息公开。</w:t>
      </w:r>
      <w:r>
        <w:rPr>
          <w:rFonts w:hint="eastAsia" w:ascii="仿宋_GB2312" w:eastAsia="仿宋_GB2312"/>
          <w:sz w:val="32"/>
          <w:szCs w:val="32"/>
        </w:rPr>
        <w:t>积极通过潍坊电视议事厅、网站、报纸等解读新旧动能</w:t>
      </w:r>
      <w:r>
        <w:rPr>
          <w:rFonts w:hint="eastAsia" w:ascii="仿宋_GB2312" w:eastAsia="仿宋_GB2312"/>
          <w:sz w:val="32"/>
          <w:szCs w:val="32"/>
          <w:lang w:eastAsia="zh-CN"/>
        </w:rPr>
        <w:t>转换</w:t>
      </w:r>
      <w:r>
        <w:rPr>
          <w:rFonts w:hint="eastAsia" w:ascii="仿宋_GB2312" w:eastAsia="仿宋_GB2312"/>
          <w:sz w:val="32"/>
          <w:szCs w:val="32"/>
        </w:rPr>
        <w:t>政策、发布</w:t>
      </w:r>
      <w:r>
        <w:rPr>
          <w:rFonts w:hint="eastAsia" w:ascii="仿宋_GB2312" w:hAnsi="等线" w:eastAsia="仿宋_GB2312" w:cs="宋体"/>
          <w:color w:val="000000"/>
          <w:sz w:val="32"/>
          <w:szCs w:val="32"/>
        </w:rPr>
        <w:t>有关经验和做法信息120余条，</w:t>
      </w:r>
      <w:r>
        <w:rPr>
          <w:rFonts w:hint="eastAsia" w:ascii="仿宋_GB2312" w:eastAsia="仿宋_GB2312"/>
          <w:sz w:val="32"/>
          <w:szCs w:val="32"/>
        </w:rPr>
        <w:t>促进公众更好地了解新旧动能转换内涵、领域及发展方向。及时公布化解过剩产能企业名单及完成等情况6次，将山东省地方标准公开查询系统</w:t>
      </w:r>
      <w:r>
        <w:rPr>
          <w:rFonts w:ascii="仿宋_GB2312" w:eastAsia="仿宋_GB2312"/>
          <w:sz w:val="32"/>
          <w:szCs w:val="32"/>
        </w:rPr>
        <w:t>链接至市政府</w:t>
      </w:r>
      <w:r>
        <w:rPr>
          <w:rFonts w:hint="eastAsia" w:ascii="仿宋_GB2312" w:eastAsia="仿宋_GB2312"/>
          <w:sz w:val="32"/>
          <w:szCs w:val="32"/>
        </w:rPr>
        <w:t>门户网</w:t>
      </w:r>
      <w:r>
        <w:rPr>
          <w:rFonts w:ascii="仿宋_GB2312" w:eastAsia="仿宋_GB2312"/>
          <w:sz w:val="32"/>
          <w:szCs w:val="32"/>
        </w:rPr>
        <w:t>站</w:t>
      </w:r>
      <w:r>
        <w:rPr>
          <w:rFonts w:hint="eastAsia" w:ascii="仿宋_GB2312" w:eastAsia="仿宋_GB2312"/>
          <w:sz w:val="32"/>
          <w:szCs w:val="32"/>
        </w:rPr>
        <w:t>重点领域信息公开专题</w:t>
      </w:r>
      <w:r>
        <w:fldChar w:fldCharType="begin"/>
      </w:r>
      <w:r>
        <w:instrText xml:space="preserve"> HYPERLINK "http://xxgk.weifang.gov.cn/index_10050.html?classInfoId=6155" \t "_blank" </w:instrText>
      </w:r>
      <w:r>
        <w:fldChar w:fldCharType="separate"/>
      </w:r>
      <w:r>
        <w:rPr>
          <w:rFonts w:ascii="仿宋_GB2312" w:eastAsia="仿宋_GB2312"/>
          <w:sz w:val="32"/>
          <w:szCs w:val="32"/>
        </w:rPr>
        <w:t>化解过剩产能相关标准</w:t>
      </w:r>
      <w:r>
        <w:rPr>
          <w:rFonts w:ascii="仿宋_GB2312" w:eastAsia="仿宋_GB2312"/>
          <w:sz w:val="32"/>
          <w:szCs w:val="32"/>
        </w:rPr>
        <w:fldChar w:fldCharType="end"/>
      </w:r>
      <w:r>
        <w:rPr>
          <w:rFonts w:hint="eastAsia" w:ascii="仿宋_GB2312" w:eastAsia="仿宋_GB2312"/>
          <w:sz w:val="32"/>
          <w:szCs w:val="32"/>
        </w:rPr>
        <w:t>栏目，方便公众查询。定期发布重点批发市场农产品价格等信息，市本级全年共发布重点农产品价格信息50余条，其他农产品价格信息60余条，每月定期转发农业部重要农产品供需平衡表，及时公开夏粮收购进度22期、秋粮收购进度15期。加大强农惠农政策、土地承包“三权分置”</w:t>
      </w:r>
      <w:r>
        <w:rPr>
          <w:rFonts w:hint="eastAsia" w:ascii="仿宋_GB2312" w:eastAsia="仿宋_GB2312"/>
          <w:sz w:val="32"/>
          <w:szCs w:val="32"/>
          <w:lang w:eastAsia="zh-CN"/>
        </w:rPr>
        <w:t>、</w:t>
      </w:r>
      <w:r>
        <w:rPr>
          <w:rFonts w:hint="eastAsia" w:ascii="仿宋_GB2312" w:eastAsia="仿宋_GB2312"/>
          <w:sz w:val="32"/>
          <w:szCs w:val="32"/>
        </w:rPr>
        <w:t>农村集体产权制度改革以及农业补贴的公开力度，专门</w:t>
      </w:r>
      <w:r>
        <w:rPr>
          <w:rFonts w:hint="eastAsia" w:ascii="仿宋_GB2312" w:eastAsia="仿宋_GB2312"/>
          <w:sz w:val="32"/>
          <w:szCs w:val="32"/>
          <w:lang w:eastAsia="zh-CN"/>
        </w:rPr>
        <w:t>印制</w:t>
      </w:r>
      <w:r>
        <w:rPr>
          <w:rFonts w:hint="eastAsia" w:ascii="仿宋_GB2312" w:eastAsia="仿宋_GB2312"/>
          <w:sz w:val="32"/>
          <w:szCs w:val="32"/>
        </w:rPr>
        <w:t>了《农村土地承包经营权确权登记颁证有关法律政策问题解答汇编》近1万册分发到群众手中。市本级全年共通过新闻发布会、图文、音频、数字、媒体等形式解读农业政策60余次。</w:t>
      </w:r>
    </w:p>
    <w:p>
      <w:pPr>
        <w:widowControl/>
        <w:spacing w:line="620" w:lineRule="exact"/>
        <w:ind w:firstLine="600"/>
        <w:rPr>
          <w:rFonts w:ascii="Times New Roman" w:hAnsi="Times New Roman" w:eastAsia="仿宋_GB2312" w:cs="Times New Roman"/>
          <w:sz w:val="32"/>
          <w:szCs w:val="32"/>
        </w:rPr>
      </w:pPr>
      <w:r>
        <w:rPr>
          <w:rFonts w:hint="eastAsia" w:ascii="楷体_GB2312" w:eastAsia="楷体_GB2312" w:cs="微软雅黑"/>
          <w:kern w:val="0"/>
          <w:sz w:val="32"/>
          <w:szCs w:val="32"/>
          <w:lang w:val="zh-CN"/>
        </w:rPr>
        <w:t>7.民生领域信息公开。</w:t>
      </w:r>
      <w:r>
        <w:rPr>
          <w:rFonts w:hint="eastAsia" w:ascii="仿宋_GB2312" w:hAnsi="Times New Roman" w:eastAsia="仿宋_GB2312" w:cs="Times New Roman"/>
          <w:color w:val="000000"/>
          <w:sz w:val="32"/>
          <w:szCs w:val="32"/>
          <w:shd w:val="clear" w:color="080000" w:fill="FFFFFF"/>
        </w:rPr>
        <w:t>持续加大扶贫信息公开力度，</w:t>
      </w:r>
      <w:r>
        <w:rPr>
          <w:rFonts w:hint="eastAsia" w:ascii="仿宋_GB2312" w:hAnsi="Times New Roman" w:eastAsia="仿宋_GB2312" w:cs="Times New Roman"/>
          <w:sz w:val="32"/>
          <w:szCs w:val="32"/>
        </w:rPr>
        <w:t>重点公开了2017年全市脱贫攻坚责任书、建档立卡贫困人口年度脱贫计划、扶贫开发工作成效、扶贫资金及项目安排等扶贫重点举措情况，按时限要求公开了2017年财政专项扶贫资金安排情况及《关于2017年度财政专项扶贫资金使用监管的意见》，确保了扶贫资金使用的安全、高效、透明。</w:t>
      </w:r>
      <w:r>
        <w:rPr>
          <w:rFonts w:hint="eastAsia" w:ascii="仿宋_GB2312" w:eastAsia="仿宋_GB2312"/>
          <w:sz w:val="32"/>
          <w:szCs w:val="32"/>
        </w:rPr>
        <w:t>市本级全年累计通</w:t>
      </w:r>
      <w:r>
        <w:rPr>
          <w:rFonts w:hint="eastAsia" w:ascii="仿宋_GB2312" w:eastAsia="仿宋_GB2312"/>
          <w:sz w:val="32"/>
          <w:szCs w:val="32"/>
          <w:lang w:eastAsia="zh-CN"/>
        </w:rPr>
        <w:t>过</w:t>
      </w:r>
      <w:r>
        <w:rPr>
          <w:rFonts w:hint="eastAsia" w:ascii="仿宋_GB2312" w:eastAsia="仿宋_GB2312"/>
          <w:sz w:val="32"/>
          <w:szCs w:val="32"/>
        </w:rPr>
        <w:t>网站、报纸等公开扶贫信息1000余条。</w:t>
      </w:r>
      <w:r>
        <w:rPr>
          <w:rFonts w:ascii="Times New Roman" w:hAnsi="Times New Roman" w:eastAsia="仿宋_GB2312" w:cs="Times New Roman"/>
          <w:sz w:val="32"/>
          <w:szCs w:val="32"/>
        </w:rPr>
        <w:t>指导县市区做好县级扶贫信息公开工作，县市区建立健全</w:t>
      </w:r>
      <w:r>
        <w:rPr>
          <w:rFonts w:hint="eastAsia" w:ascii="Times New Roman" w:hAnsi="Times New Roman" w:eastAsia="仿宋_GB2312" w:cs="Times New Roman"/>
          <w:sz w:val="32"/>
          <w:szCs w:val="32"/>
        </w:rPr>
        <w:t>了</w:t>
      </w:r>
      <w:r>
        <w:rPr>
          <w:rFonts w:ascii="Times New Roman" w:hAnsi="Times New Roman" w:eastAsia="仿宋_GB2312" w:cs="Times New Roman"/>
          <w:sz w:val="32"/>
          <w:szCs w:val="32"/>
        </w:rPr>
        <w:t>扶贫</w:t>
      </w:r>
      <w:r>
        <w:rPr>
          <w:rFonts w:hint="eastAsia" w:ascii="Times New Roman" w:hAnsi="Times New Roman" w:eastAsia="仿宋_GB2312" w:cs="Times New Roman"/>
          <w:sz w:val="32"/>
          <w:szCs w:val="32"/>
        </w:rPr>
        <w:t>资金</w:t>
      </w:r>
      <w:r>
        <w:rPr>
          <w:rFonts w:ascii="Times New Roman" w:hAnsi="Times New Roman" w:eastAsia="仿宋_GB2312" w:cs="Times New Roman"/>
          <w:sz w:val="32"/>
          <w:szCs w:val="32"/>
        </w:rPr>
        <w:t>公示公告制度，</w:t>
      </w:r>
      <w:r>
        <w:rPr>
          <w:rFonts w:hint="eastAsia" w:ascii="Times New Roman" w:hAnsi="Times New Roman" w:eastAsia="仿宋_GB2312" w:cs="Times New Roman"/>
          <w:sz w:val="32"/>
          <w:szCs w:val="32"/>
        </w:rPr>
        <w:t>及时</w:t>
      </w:r>
      <w:r>
        <w:rPr>
          <w:rFonts w:ascii="Times New Roman" w:hAnsi="Times New Roman" w:eastAsia="仿宋_GB2312" w:cs="Times New Roman"/>
          <w:sz w:val="32"/>
          <w:szCs w:val="32"/>
        </w:rPr>
        <w:t>公开</w:t>
      </w:r>
      <w:r>
        <w:rPr>
          <w:rFonts w:hint="eastAsia" w:ascii="Times New Roman" w:hAnsi="Times New Roman" w:eastAsia="仿宋_GB2312" w:cs="Times New Roman"/>
          <w:sz w:val="32"/>
          <w:szCs w:val="32"/>
        </w:rPr>
        <w:t>了</w:t>
      </w:r>
      <w:r>
        <w:rPr>
          <w:rFonts w:ascii="Times New Roman" w:hAnsi="Times New Roman" w:eastAsia="仿宋_GB2312" w:cs="Times New Roman"/>
          <w:sz w:val="32"/>
          <w:szCs w:val="32"/>
        </w:rPr>
        <w:t>资金使用计划、扶贫项目安排、精准识别、贫困退出等信息</w:t>
      </w:r>
      <w:r>
        <w:rPr>
          <w:rFonts w:hint="eastAsia" w:ascii="Times New Roman" w:hAnsi="Times New Roman" w:eastAsia="仿宋_GB2312" w:cs="Times New Roman"/>
          <w:sz w:val="32"/>
          <w:szCs w:val="32"/>
        </w:rPr>
        <w:t>，对不需要在网站公开的内容，按要求在</w:t>
      </w:r>
      <w:r>
        <w:rPr>
          <w:rFonts w:ascii="Times New Roman" w:hAnsi="Times New Roman" w:eastAsia="仿宋_GB2312" w:cs="Times New Roman"/>
          <w:sz w:val="32"/>
          <w:szCs w:val="32"/>
        </w:rPr>
        <w:t>镇（街、区）、村公开栏进行公示公告，并留存照片资料</w:t>
      </w:r>
      <w:r>
        <w:rPr>
          <w:rFonts w:hint="eastAsia" w:ascii="Times New Roman" w:hAnsi="Times New Roman" w:eastAsia="仿宋_GB2312" w:cs="Times New Roman"/>
          <w:sz w:val="32"/>
          <w:szCs w:val="32"/>
        </w:rPr>
        <w:t>。</w:t>
      </w:r>
    </w:p>
    <w:p>
      <w:pPr>
        <w:widowControl/>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5274310" cy="252793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8" cstate="print"/>
                    <a:srcRect/>
                    <a:stretch>
                      <a:fillRect/>
                    </a:stretch>
                  </pic:blipFill>
                  <pic:spPr>
                    <a:xfrm>
                      <a:off x="0" y="0"/>
                      <a:ext cx="5274310" cy="2527935"/>
                    </a:xfrm>
                    <a:prstGeom prst="rect">
                      <a:avLst/>
                    </a:prstGeom>
                    <a:noFill/>
                    <a:ln w="9525">
                      <a:noFill/>
                      <a:miter lim="800000"/>
                      <a:headEnd/>
                      <a:tailEnd/>
                    </a:ln>
                  </pic:spPr>
                </pic:pic>
              </a:graphicData>
            </a:graphic>
          </wp:inline>
        </w:drawing>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及时向社会公布解读中央和省、市发布的各项社会救助政策，内容涉及城乡低保、特困人员供养、医疗救助、临时救助等。市本级全年共发布各项社会救助信息160余条，每月定期公开社会救助信息统计表、低保和特困人员救助情况共24条，每季度发布医疗救助、临时救助信息，适时公布减灾救灾信息。每季度定期发布低保救助人数和资金支出情况。按季度或根据低保标准调整情况，及时向社会公布城乡低保和农村特困人员救助供养标准，方便群众查阅。</w:t>
      </w:r>
    </w:p>
    <w:p>
      <w:pPr>
        <w:spacing w:line="620" w:lineRule="exact"/>
        <w:ind w:firstLine="640" w:firstLineChars="200"/>
        <w:rPr>
          <w:rFonts w:ascii="仿宋_GB2312" w:eastAsia="仿宋_GB2312"/>
          <w:sz w:val="32"/>
          <w:szCs w:val="32"/>
        </w:rPr>
      </w:pPr>
      <w:r>
        <w:rPr>
          <w:rFonts w:ascii="Times New Roman" w:hAnsi="Times New Roman" w:eastAsia="仿宋_GB2312" w:cs="Times New Roman"/>
          <w:sz w:val="32"/>
          <w:szCs w:val="32"/>
        </w:rPr>
        <w:t>突出做好水、大气环境质量信息公开工作，</w:t>
      </w:r>
      <w:r>
        <w:rPr>
          <w:rFonts w:ascii="Times New Roman" w:hAnsi="Times New Roman" w:eastAsia="仿宋_GB2312" w:cs="Times New Roman"/>
          <w:kern w:val="0"/>
          <w:sz w:val="32"/>
          <w:szCs w:val="32"/>
        </w:rPr>
        <w:t>每月公布全市</w:t>
      </w:r>
      <w:r>
        <w:rPr>
          <w:rFonts w:ascii="Times New Roman" w:hAnsi="Times New Roman" w:eastAsia="仿宋_GB2312" w:cs="Times New Roman"/>
          <w:sz w:val="32"/>
          <w:szCs w:val="32"/>
        </w:rPr>
        <w:t>重点河流水质、饮用水水源监测信息及集中式饮用水源地水质状况</w:t>
      </w:r>
      <w:r>
        <w:rPr>
          <w:rFonts w:ascii="Times New Roman" w:hAnsi="Times New Roman" w:eastAsia="仿宋_GB2312" w:cs="Times New Roman"/>
          <w:kern w:val="0"/>
          <w:sz w:val="32"/>
          <w:szCs w:val="32"/>
        </w:rPr>
        <w:t>，并对各县市区进行排名公示。对空气质量</w:t>
      </w:r>
      <w:r>
        <w:rPr>
          <w:rFonts w:hint="eastAsia" w:ascii="仿宋_GB2312" w:hAnsi="Times New Roman" w:eastAsia="仿宋_GB2312" w:cs="Times New Roman"/>
          <w:kern w:val="0"/>
          <w:sz w:val="32"/>
          <w:szCs w:val="32"/>
        </w:rPr>
        <w:t>指数（AQI）值进行</w:t>
      </w:r>
      <w:r>
        <w:rPr>
          <w:rFonts w:ascii="Times New Roman" w:hAnsi="Times New Roman" w:eastAsia="仿宋_GB2312" w:cs="Times New Roman"/>
          <w:kern w:val="0"/>
          <w:sz w:val="32"/>
          <w:szCs w:val="32"/>
        </w:rPr>
        <w:t>日报和实时报，每月对各县市区空气质量情况进行排名并公示。及时公开了</w:t>
      </w:r>
      <w:r>
        <w:rPr>
          <w:rFonts w:ascii="Times New Roman" w:hAnsi="Times New Roman" w:eastAsia="仿宋_GB2312" w:cs="Times New Roman"/>
          <w:sz w:val="32"/>
          <w:szCs w:val="32"/>
        </w:rPr>
        <w:t>重污染天气应急措施和限产企业清单</w:t>
      </w:r>
      <w:r>
        <w:rPr>
          <w:rFonts w:hint="eastAsia" w:ascii="Times New Roman" w:hAnsi="Times New Roman" w:eastAsia="仿宋_GB2312" w:cs="Times New Roman"/>
          <w:kern w:val="0"/>
          <w:sz w:val="32"/>
          <w:szCs w:val="32"/>
        </w:rPr>
        <w:t>以及</w:t>
      </w:r>
      <w:r>
        <w:rPr>
          <w:rFonts w:ascii="仿宋_GB2312" w:hAnsi="Calibri" w:eastAsia="仿宋_GB2312" w:cs="Times New Roman"/>
          <w:sz w:val="32"/>
          <w:szCs w:val="32"/>
        </w:rPr>
        <w:t>环境信息公开重点排污单位名录，设</w:t>
      </w:r>
      <w:r>
        <w:rPr>
          <w:rFonts w:hint="eastAsia" w:ascii="仿宋_GB2312" w:eastAsia="仿宋_GB2312"/>
          <w:sz w:val="32"/>
          <w:szCs w:val="32"/>
        </w:rPr>
        <w:t>立了“</w:t>
      </w:r>
      <w:r>
        <w:rPr>
          <w:rFonts w:ascii="仿宋_GB2312" w:hAnsi="Calibri" w:eastAsia="仿宋_GB2312" w:cs="Times New Roman"/>
          <w:sz w:val="32"/>
          <w:szCs w:val="32"/>
        </w:rPr>
        <w:t>污染源环境监管信息公开</w:t>
      </w:r>
      <w:r>
        <w:rPr>
          <w:rFonts w:hint="eastAsia" w:ascii="仿宋_GB2312" w:eastAsia="仿宋_GB2312"/>
          <w:sz w:val="32"/>
          <w:szCs w:val="32"/>
        </w:rPr>
        <w:t>”</w:t>
      </w:r>
      <w:r>
        <w:rPr>
          <w:rFonts w:ascii="仿宋_GB2312" w:hAnsi="Calibri" w:eastAsia="仿宋_GB2312" w:cs="Times New Roman"/>
          <w:sz w:val="32"/>
          <w:szCs w:val="32"/>
        </w:rPr>
        <w:t>专栏，从污染源基本信息、监测数据、总量控制等多个角度对污染源环境监管信息实行分类别、全方位公开。</w:t>
      </w:r>
      <w:r>
        <w:rPr>
          <w:rFonts w:hint="eastAsia" w:ascii="仿宋_GB2312" w:eastAsia="仿宋_GB2312"/>
          <w:sz w:val="32"/>
          <w:szCs w:val="32"/>
        </w:rPr>
        <w:t>委托第三方每季度对水厂出口水、管网水和用户水龙头水水质全过程检测，全年共抽查供水出厂口8处，管网24处，用户水龙头9处，发布水质抽检报告8份，确保全市饮用水安全。及时全面公开“</w:t>
      </w:r>
      <w:r>
        <w:rPr>
          <w:rFonts w:ascii="仿宋_GB2312" w:eastAsia="仿宋_GB2312"/>
          <w:sz w:val="32"/>
          <w:szCs w:val="32"/>
        </w:rPr>
        <w:t>河长制</w:t>
      </w:r>
      <w:r>
        <w:rPr>
          <w:rFonts w:hint="eastAsia" w:ascii="仿宋_GB2312" w:eastAsia="仿宋_GB2312"/>
          <w:sz w:val="32"/>
          <w:szCs w:val="32"/>
        </w:rPr>
        <w:t>”</w:t>
      </w:r>
      <w:r>
        <w:rPr>
          <w:rFonts w:ascii="仿宋_GB2312" w:eastAsia="仿宋_GB2312"/>
          <w:sz w:val="32"/>
          <w:szCs w:val="32"/>
        </w:rPr>
        <w:t>工作实施方案、管理保护目标和河湖保护情况</w:t>
      </w:r>
      <w:r>
        <w:rPr>
          <w:rFonts w:hint="eastAsia" w:ascii="仿宋_GB2312" w:eastAsia="仿宋_GB2312"/>
          <w:sz w:val="32"/>
          <w:szCs w:val="32"/>
        </w:rPr>
        <w:t>等</w:t>
      </w:r>
      <w:r>
        <w:rPr>
          <w:rFonts w:ascii="仿宋_GB2312" w:eastAsia="仿宋_GB2312"/>
          <w:sz w:val="32"/>
          <w:szCs w:val="32"/>
        </w:rPr>
        <w:t>信息40余条。</w:t>
      </w:r>
    </w:p>
    <w:p>
      <w:pPr>
        <w:rPr>
          <w:rFonts w:ascii="仿宋_GB2312" w:eastAsia="仿宋_GB2312"/>
          <w:sz w:val="32"/>
          <w:szCs w:val="32"/>
        </w:rPr>
      </w:pPr>
      <w:r>
        <w:rPr>
          <w:rFonts w:ascii="仿宋_GB2312" w:eastAsia="仿宋_GB2312"/>
          <w:sz w:val="32"/>
          <w:szCs w:val="32"/>
        </w:rPr>
        <w:drawing>
          <wp:inline distT="0" distB="0" distL="0" distR="0">
            <wp:extent cx="5274310" cy="313436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9" cstate="print"/>
                    <a:srcRect/>
                    <a:stretch>
                      <a:fillRect/>
                    </a:stretch>
                  </pic:blipFill>
                  <pic:spPr>
                    <a:xfrm>
                      <a:off x="0" y="0"/>
                      <a:ext cx="5274310" cy="3134960"/>
                    </a:xfrm>
                    <a:prstGeom prst="rect">
                      <a:avLst/>
                    </a:prstGeom>
                    <a:noFill/>
                    <a:ln w="9525">
                      <a:noFill/>
                      <a:miter lim="800000"/>
                      <a:headEnd/>
                      <a:tailEnd/>
                    </a:ln>
                  </pic:spPr>
                </pic:pic>
              </a:graphicData>
            </a:graphic>
          </wp:inline>
        </w:drawing>
      </w:r>
    </w:p>
    <w:p>
      <w:pPr>
        <w:widowControl/>
        <w:spacing w:line="620" w:lineRule="exact"/>
        <w:ind w:firstLine="640" w:firstLineChars="200"/>
        <w:rPr>
          <w:rFonts w:ascii="仿宋_GB2312" w:eastAsia="仿宋_GB2312"/>
          <w:sz w:val="32"/>
          <w:szCs w:val="32"/>
        </w:rPr>
      </w:pPr>
      <w:r>
        <w:rPr>
          <w:rFonts w:hint="eastAsia" w:ascii="仿宋_GB2312" w:eastAsia="仿宋_GB2312"/>
          <w:sz w:val="32"/>
          <w:szCs w:val="32"/>
        </w:rPr>
        <w:t>积极推进市属高校的信息公开工作，市属高校</w:t>
      </w:r>
      <w:r>
        <w:rPr>
          <w:rFonts w:hint="eastAsia" w:ascii="仿宋_GB2312" w:hAnsi="微软雅黑" w:eastAsia="仿宋_GB2312" w:cs="宋体"/>
          <w:kern w:val="0"/>
          <w:sz w:val="32"/>
          <w:szCs w:val="32"/>
        </w:rPr>
        <w:t>全部确定了专门的信息公开工作机构，及时公开了</w:t>
      </w:r>
      <w:r>
        <w:rPr>
          <w:rFonts w:hint="eastAsia" w:ascii="仿宋_GB2312" w:eastAsia="仿宋_GB2312"/>
          <w:sz w:val="32"/>
          <w:szCs w:val="32"/>
        </w:rPr>
        <w:t>招生录取、经费预算等信息</w:t>
      </w:r>
      <w:r>
        <w:rPr>
          <w:rFonts w:hint="eastAsia" w:ascii="仿宋_GB2312" w:hAnsi="微软雅黑" w:eastAsia="仿宋_GB2312" w:cs="宋体"/>
          <w:kern w:val="0"/>
          <w:sz w:val="32"/>
          <w:szCs w:val="32"/>
        </w:rPr>
        <w:t>。</w:t>
      </w:r>
      <w:r>
        <w:rPr>
          <w:rFonts w:hint="eastAsia" w:ascii="仿宋_GB2312" w:eastAsia="仿宋_GB2312"/>
          <w:sz w:val="32"/>
          <w:szCs w:val="32"/>
        </w:rPr>
        <w:t>设置了</w:t>
      </w:r>
      <w:r>
        <w:rPr>
          <w:rFonts w:ascii="仿宋_GB2312" w:eastAsia="仿宋_GB2312"/>
          <w:sz w:val="32"/>
          <w:szCs w:val="32"/>
        </w:rPr>
        <w:t>义务教育划片和进城务工人员子女入学</w:t>
      </w:r>
      <w:r>
        <w:rPr>
          <w:rFonts w:hint="eastAsia" w:ascii="仿宋_GB2312" w:eastAsia="仿宋_GB2312"/>
          <w:sz w:val="32"/>
          <w:szCs w:val="32"/>
        </w:rPr>
        <w:t>、</w:t>
      </w:r>
      <w:r>
        <w:rPr>
          <w:rFonts w:ascii="仿宋_GB2312" w:eastAsia="仿宋_GB2312"/>
          <w:sz w:val="32"/>
          <w:szCs w:val="32"/>
        </w:rPr>
        <w:t>教育督导</w:t>
      </w:r>
      <w:r>
        <w:rPr>
          <w:rFonts w:hint="eastAsia" w:ascii="仿宋_GB2312" w:eastAsia="仿宋_GB2312"/>
          <w:sz w:val="32"/>
          <w:szCs w:val="32"/>
        </w:rPr>
        <w:t>、</w:t>
      </w:r>
      <w:r>
        <w:rPr>
          <w:rFonts w:ascii="仿宋_GB2312" w:eastAsia="仿宋_GB2312"/>
          <w:sz w:val="32"/>
          <w:szCs w:val="32"/>
        </w:rPr>
        <w:t>义务教育均衡发展</w:t>
      </w:r>
      <w:r>
        <w:rPr>
          <w:rFonts w:hint="eastAsia" w:ascii="仿宋_GB2312" w:eastAsia="仿宋_GB2312"/>
          <w:sz w:val="32"/>
          <w:szCs w:val="32"/>
        </w:rPr>
        <w:t>、</w:t>
      </w:r>
      <w:r>
        <w:rPr>
          <w:rFonts w:ascii="仿宋_GB2312" w:eastAsia="仿宋_GB2312"/>
          <w:sz w:val="32"/>
          <w:szCs w:val="32"/>
        </w:rPr>
        <w:t>全面改薄</w:t>
      </w:r>
      <w:r>
        <w:rPr>
          <w:rFonts w:hint="eastAsia" w:ascii="仿宋_GB2312" w:eastAsia="仿宋_GB2312"/>
          <w:sz w:val="32"/>
          <w:szCs w:val="32"/>
        </w:rPr>
        <w:t>四项工作公开专栏。</w:t>
      </w:r>
      <w:r>
        <w:rPr>
          <w:rFonts w:hint="eastAsia" w:ascii="仿宋_GB2312" w:hAnsi="微软雅黑" w:eastAsia="仿宋_GB2312" w:cs="宋体"/>
          <w:kern w:val="0"/>
          <w:sz w:val="32"/>
          <w:szCs w:val="32"/>
        </w:rPr>
        <w:t>于每年6月底前及时公开各县市区、市属各开发区行政辖区内各义务教育学校的招生范围、招生条件、招生程序等信息，并在招生工作结束后及时公开招生结果，确保群众及时了解当年义务教育招生政策。及时解读适龄儿童延缓入学、休学或自行实施义务教育等特殊需求的相关政策，公开服务电话，自觉接受社会监督。</w:t>
      </w:r>
      <w:r>
        <w:rPr>
          <w:rFonts w:hint="eastAsia" w:ascii="仿宋_GB2312" w:eastAsia="仿宋_GB2312"/>
          <w:sz w:val="32"/>
          <w:szCs w:val="32"/>
        </w:rPr>
        <w:t>市本级全年共通过报纸、专栏等发布各类教育信息200余条。</w:t>
      </w:r>
    </w:p>
    <w:p>
      <w:pPr>
        <w:widowControl/>
        <w:rPr>
          <w:rFonts w:ascii="仿宋" w:hAnsi="仿宋" w:eastAsia="仿宋" w:cs="仿宋"/>
          <w:sz w:val="32"/>
          <w:szCs w:val="32"/>
        </w:rPr>
      </w:pPr>
      <w:r>
        <w:rPr>
          <w:rFonts w:ascii="仿宋" w:hAnsi="仿宋" w:eastAsia="仿宋" w:cs="仿宋"/>
          <w:sz w:val="32"/>
          <w:szCs w:val="32"/>
        </w:rPr>
        <w:drawing>
          <wp:inline distT="0" distB="0" distL="0" distR="0">
            <wp:extent cx="5274310" cy="3359150"/>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0" cstate="print"/>
                    <a:srcRect/>
                    <a:stretch>
                      <a:fillRect/>
                    </a:stretch>
                  </pic:blipFill>
                  <pic:spPr>
                    <a:xfrm>
                      <a:off x="0" y="0"/>
                      <a:ext cx="5274310" cy="3359646"/>
                    </a:xfrm>
                    <a:prstGeom prst="rect">
                      <a:avLst/>
                    </a:prstGeom>
                    <a:noFill/>
                    <a:ln w="9525">
                      <a:noFill/>
                      <a:miter lim="800000"/>
                      <a:headEnd/>
                      <a:tailEnd/>
                    </a:ln>
                  </pic:spPr>
                </pic:pic>
              </a:graphicData>
            </a:graphic>
          </wp:inline>
        </w:drawing>
      </w:r>
    </w:p>
    <w:p>
      <w:pPr>
        <w:spacing w:line="620" w:lineRule="exact"/>
        <w:ind w:firstLine="640" w:firstLineChars="200"/>
        <w:rPr>
          <w:rFonts w:ascii="仿宋_GB2312" w:hAnsi="微软雅黑" w:eastAsia="仿宋_GB2312" w:cs="宋体"/>
          <w:kern w:val="0"/>
          <w:sz w:val="32"/>
          <w:szCs w:val="32"/>
        </w:rPr>
      </w:pPr>
      <w:r>
        <w:rPr>
          <w:rFonts w:hint="eastAsia" w:ascii="仿宋_GB2312" w:hAnsi="微软雅黑" w:eastAsia="仿宋_GB2312" w:cs="宋体"/>
          <w:kern w:val="0"/>
          <w:sz w:val="32"/>
          <w:szCs w:val="32"/>
        </w:rPr>
        <w:t>建立了卫生计生重大民生决策事项民意调查制度，定期发布开展的民意调查活动及调查结果，及时公开食品安全标准和食品安全企业标准解读信息。</w:t>
      </w:r>
      <w:r>
        <w:rPr>
          <w:rFonts w:hint="eastAsia" w:ascii="仿宋_GB2312" w:hAnsi="仿宋_GB2312" w:eastAsia="仿宋_GB2312" w:cs="仿宋_GB2312"/>
          <w:sz w:val="32"/>
          <w:szCs w:val="32"/>
        </w:rPr>
        <w:t>市本级全年共公开相关信息60余条。</w:t>
      </w:r>
      <w:r>
        <w:rPr>
          <w:rFonts w:hint="eastAsia" w:ascii="仿宋_GB2312" w:hAnsi="微软雅黑" w:eastAsia="仿宋_GB2312" w:cs="宋体"/>
          <w:kern w:val="0"/>
          <w:sz w:val="32"/>
          <w:szCs w:val="32"/>
        </w:rPr>
        <w:t>设立了“医疗机构”栏目，对直属医疗单位网址均作了相应链接，群众只需点击即可直接进入相关医疗单位门户网站进行查询。市人民医院、市中医院、市妇幼保健院、市精神卫生中心等医疗机构均及时公开常规医疗服务价格、常用药品和主要医用耗材价格信息，全年共发布医疗机构价格公示类信息50余条，改善医疗服务行动计划落实情况信息30余条。建立违规违纪问题处理结果公开机制，</w:t>
      </w:r>
      <w:r>
        <w:rPr>
          <w:rFonts w:hint="eastAsia" w:ascii="仿宋_GB2312" w:hAnsi="仿宋_GB2312" w:eastAsia="仿宋_GB2312" w:cs="仿宋_GB2312"/>
          <w:sz w:val="32"/>
          <w:szCs w:val="32"/>
        </w:rPr>
        <w:t>市本级全年</w:t>
      </w:r>
      <w:r>
        <w:rPr>
          <w:rFonts w:hint="eastAsia" w:ascii="仿宋_GB2312" w:hAnsi="微软雅黑" w:eastAsia="仿宋_GB2312" w:cs="宋体"/>
          <w:kern w:val="0"/>
          <w:sz w:val="32"/>
          <w:szCs w:val="32"/>
        </w:rPr>
        <w:t>定期公开督导检查活动情况和违规违纪问题处理结果28条。</w:t>
      </w:r>
    </w:p>
    <w:p>
      <w:pPr>
        <w:rPr>
          <w:rFonts w:ascii="仿宋_GB2312" w:hAnsi="微软雅黑" w:eastAsia="仿宋_GB2312" w:cs="宋体"/>
          <w:kern w:val="0"/>
          <w:sz w:val="32"/>
          <w:szCs w:val="32"/>
        </w:rPr>
      </w:pPr>
      <w:r>
        <w:rPr>
          <w:rFonts w:ascii="仿宋_GB2312" w:hAnsi="微软雅黑" w:eastAsia="仿宋_GB2312" w:cs="宋体"/>
          <w:kern w:val="0"/>
          <w:sz w:val="32"/>
          <w:szCs w:val="32"/>
        </w:rPr>
        <w:drawing>
          <wp:inline distT="0" distB="0" distL="0" distR="0">
            <wp:extent cx="5274310" cy="1393825"/>
            <wp:effectExtent l="1905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srcRect/>
                    <a:stretch>
                      <a:fillRect/>
                    </a:stretch>
                  </pic:blipFill>
                  <pic:spPr>
                    <a:xfrm>
                      <a:off x="0" y="0"/>
                      <a:ext cx="5274310" cy="1393967"/>
                    </a:xfrm>
                    <a:prstGeom prst="rect">
                      <a:avLst/>
                    </a:prstGeom>
                    <a:noFill/>
                    <a:ln w="9525">
                      <a:noFill/>
                      <a:miter lim="800000"/>
                      <a:headEnd/>
                      <a:tailEnd/>
                    </a:ln>
                  </pic:spPr>
                </pic:pic>
              </a:graphicData>
            </a:graphic>
          </wp:inline>
        </w:drawing>
      </w:r>
    </w:p>
    <w:p>
      <w:pPr>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设置了行政处罚案件信息公开专栏，定期公开食品药品行政处罚案件信息。加强监督抽检信息公开，定期公布全市食品抽检总体情况、发现的主要问题和不合格食品核查处置情况。市本级全年共公开行政处罚信息、抽检信息、药品行政许可和监督检查信息700余条。分别建立了行政处罚案件信息数据库和监督抽检信息数据库，将市级行政处罚案件信息和监督抽检全部纳入，方便公众查询。</w:t>
      </w:r>
    </w:p>
    <w:p>
      <w:pP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74310" cy="2704465"/>
            <wp:effectExtent l="0" t="0" r="254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2" cstate="print"/>
                    <a:srcRect/>
                    <a:stretch>
                      <a:fillRect/>
                    </a:stretch>
                  </pic:blipFill>
                  <pic:spPr>
                    <a:xfrm>
                      <a:off x="0" y="0"/>
                      <a:ext cx="5274310" cy="2704465"/>
                    </a:xfrm>
                    <a:prstGeom prst="rect">
                      <a:avLst/>
                    </a:prstGeom>
                    <a:noFill/>
                    <a:ln w="9525">
                      <a:noFill/>
                      <a:miter lim="800000"/>
                      <a:headEnd/>
                      <a:tailEnd/>
                    </a:ln>
                  </pic:spPr>
                </pic:pic>
              </a:graphicData>
            </a:graphic>
          </wp:inline>
        </w:drawing>
      </w:r>
    </w:p>
    <w:p>
      <w:pPr>
        <w:spacing w:line="620" w:lineRule="exact"/>
        <w:ind w:firstLine="640"/>
        <w:rPr>
          <w:rFonts w:ascii="仿宋_GB2312" w:eastAsia="仿宋_GB2312"/>
          <w:sz w:val="32"/>
          <w:szCs w:val="32"/>
        </w:rPr>
      </w:pPr>
      <w:r>
        <w:rPr>
          <w:rFonts w:hint="eastAsia" w:ascii="楷体_GB2312" w:eastAsia="楷体_GB2312" w:cs="微软雅黑"/>
          <w:kern w:val="0"/>
          <w:sz w:val="32"/>
          <w:szCs w:val="32"/>
          <w:lang w:val="zh-CN"/>
        </w:rPr>
        <w:t>8.市场服务与监管信息公开。</w:t>
      </w:r>
      <w:r>
        <w:rPr>
          <w:rFonts w:hint="eastAsia" w:ascii="仿宋_GB2312" w:hAnsi="仿宋_GB2312" w:eastAsia="仿宋_GB2312" w:cs="仿宋_GB2312"/>
          <w:sz w:val="32"/>
          <w:szCs w:val="32"/>
        </w:rPr>
        <w:t>每月定期转发商务部“中国</w:t>
      </w:r>
      <w:r>
        <w:rPr>
          <w:rFonts w:hint="eastAsia" w:ascii="仿宋_GB2312" w:eastAsia="仿宋_GB2312" w:cs="微软雅黑"/>
          <w:kern w:val="0"/>
          <w:sz w:val="32"/>
          <w:szCs w:val="32"/>
          <w:lang w:val="zh-CN"/>
        </w:rPr>
        <w:t>·</w:t>
      </w:r>
      <w:r>
        <w:rPr>
          <w:rFonts w:hint="eastAsia" w:ascii="仿宋_GB2312" w:hAnsi="仿宋_GB2312" w:eastAsia="仿宋_GB2312" w:cs="仿宋_GB2312"/>
          <w:sz w:val="32"/>
          <w:szCs w:val="32"/>
        </w:rPr>
        <w:t>寿光蔬菜价格指数”。围绕全域旅游规划、创建、基础设施建设及时发布相关信息。市本级全年共公开消费市场等相关信息150余条。修订完善并及时解读《潍坊市产品质量监督抽查工作规范》，</w:t>
      </w:r>
      <w:r>
        <w:rPr>
          <w:rFonts w:hint="eastAsia" w:ascii="仿宋_GB2312" w:eastAsia="仿宋_GB2312"/>
          <w:sz w:val="32"/>
          <w:szCs w:val="32"/>
        </w:rPr>
        <w:t>对产品质量监管政策法规、标准、程序和结果进行了公开，</w:t>
      </w:r>
      <w:r>
        <w:rPr>
          <w:rFonts w:hint="eastAsia" w:ascii="仿宋_GB2312" w:hAnsi="仿宋_GB2312" w:eastAsia="仿宋_GB2312" w:cs="仿宋_GB2312"/>
          <w:sz w:val="32"/>
          <w:szCs w:val="32"/>
        </w:rPr>
        <w:t>市本级全年共公开</w:t>
      </w:r>
      <w:r>
        <w:rPr>
          <w:rFonts w:hint="eastAsia" w:ascii="仿宋_GB2312" w:eastAsia="仿宋_GB2312"/>
          <w:sz w:val="32"/>
          <w:szCs w:val="32"/>
        </w:rPr>
        <w:t>监督抽查产品质量结果94项。</w:t>
      </w:r>
    </w:p>
    <w:p>
      <w:pPr>
        <w:spacing w:line="620" w:lineRule="exact"/>
        <w:ind w:firstLine="640" w:firstLineChars="200"/>
        <w:rPr>
          <w:rFonts w:ascii="仿宋_GB2312" w:eastAsia="仿宋_GB2312"/>
          <w:sz w:val="32"/>
          <w:szCs w:val="32"/>
        </w:rPr>
      </w:pPr>
      <w:r>
        <w:rPr>
          <w:rFonts w:hint="eastAsia" w:ascii="仿宋_GB2312" w:hAnsi="Calibri" w:eastAsia="仿宋_GB2312" w:cs="Times New Roman"/>
          <w:sz w:val="32"/>
          <w:szCs w:val="32"/>
        </w:rPr>
        <w:t>加强流通领域商品质量信息公开力度，以涉及人身财产安全、社会热点关注和群众反映集中的商品</w:t>
      </w:r>
      <w:r>
        <w:rPr>
          <w:rFonts w:hint="eastAsia" w:ascii="仿宋_GB2312" w:hAnsi="Calibri" w:eastAsia="仿宋_GB2312" w:cs="Times New Roman"/>
          <w:color w:val="000000"/>
          <w:sz w:val="32"/>
          <w:szCs w:val="32"/>
          <w:shd w:val="clear" w:color="auto" w:fill="FFFFFF"/>
        </w:rPr>
        <w:t>为重点，抽检流通领域家用电器、服装服饰、儿童玩具、电线电缆、卫生用品、消防产品等6大类379批次商品</w:t>
      </w:r>
      <w:r>
        <w:rPr>
          <w:rFonts w:hint="eastAsia" w:ascii="仿宋_GB2312" w:eastAsia="仿宋_GB2312"/>
          <w:color w:val="000000"/>
          <w:sz w:val="32"/>
          <w:szCs w:val="32"/>
          <w:shd w:val="clear" w:color="auto" w:fill="FFFFFF"/>
        </w:rPr>
        <w:t>；</w:t>
      </w:r>
      <w:r>
        <w:rPr>
          <w:rFonts w:hint="eastAsia" w:ascii="仿宋_GB2312" w:hAnsi="Calibri" w:eastAsia="仿宋_GB2312" w:cs="Times New Roman"/>
          <w:color w:val="000000"/>
          <w:sz w:val="32"/>
          <w:szCs w:val="32"/>
          <w:shd w:val="clear" w:color="auto" w:fill="FFFFFF"/>
        </w:rPr>
        <w:t>抽检流通领域建筑装修材料、服装服饰及其他针纺织品、金属制品等3大类95批次商品，</w:t>
      </w:r>
      <w:r>
        <w:rPr>
          <w:rFonts w:hint="eastAsia" w:ascii="仿宋_GB2312" w:eastAsia="仿宋_GB2312"/>
          <w:color w:val="000000"/>
          <w:sz w:val="32"/>
          <w:szCs w:val="32"/>
          <w:shd w:val="clear" w:color="auto" w:fill="FFFFFF"/>
        </w:rPr>
        <w:t>全部及时</w:t>
      </w:r>
      <w:r>
        <w:rPr>
          <w:rFonts w:hint="eastAsia" w:ascii="仿宋_GB2312" w:hAnsi="Calibri" w:eastAsia="仿宋_GB2312" w:cs="Times New Roman"/>
          <w:sz w:val="32"/>
          <w:szCs w:val="32"/>
        </w:rPr>
        <w:t>公开了抽检结果。</w:t>
      </w:r>
      <w:r>
        <w:rPr>
          <w:rFonts w:hint="eastAsia" w:ascii="仿宋_GB2312" w:hAnsi="Calibri" w:eastAsia="仿宋_GB2312" w:cs="Times New Roman"/>
          <w:color w:val="000000"/>
          <w:sz w:val="32"/>
          <w:szCs w:val="32"/>
          <w:shd w:val="clear" w:color="auto" w:fill="FFFFFF"/>
        </w:rPr>
        <w:t xml:space="preserve">打造了地方金融电视栏目《金融潍坊》，通过网站、微信等发布转载金融风险防范相关信息110余条，加强全市金融业改革发展政策的宣传和预期引导，提高社会公众金融风险防范的意识能力。 </w:t>
      </w:r>
    </w:p>
    <w:p>
      <w:pPr>
        <w:spacing w:line="62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公开并解读了《关于保持房地产市场稳定健康发展的意见》，健全建筑施工安全监管执法信息公示制度，加大建筑市场不良行为信息和行政处罚信息公开力度</w:t>
      </w:r>
      <w:r>
        <w:rPr>
          <w:rFonts w:hint="eastAsia" w:ascii="仿宋_GB2312" w:eastAsia="仿宋_GB2312"/>
          <w:sz w:val="32"/>
          <w:szCs w:val="32"/>
        </w:rPr>
        <w:t>，市本级全年</w:t>
      </w:r>
      <w:r>
        <w:rPr>
          <w:rFonts w:hint="eastAsia" w:ascii="仿宋_GB2312" w:hAnsi="Calibri" w:eastAsia="仿宋_GB2312" w:cs="Times New Roman"/>
          <w:sz w:val="32"/>
          <w:szCs w:val="32"/>
        </w:rPr>
        <w:t>发布执法检查信息</w:t>
      </w:r>
      <w:r>
        <w:rPr>
          <w:rFonts w:hint="eastAsia" w:ascii="仿宋_GB2312" w:eastAsia="仿宋_GB2312"/>
          <w:sz w:val="32"/>
          <w:szCs w:val="32"/>
        </w:rPr>
        <w:t>、</w:t>
      </w:r>
      <w:r>
        <w:rPr>
          <w:rFonts w:hint="eastAsia" w:ascii="仿宋_GB2312" w:hAnsi="Calibri" w:eastAsia="仿宋_GB2312" w:cs="Times New Roman"/>
          <w:sz w:val="32"/>
          <w:szCs w:val="32"/>
        </w:rPr>
        <w:t>施工单位不良行为</w:t>
      </w:r>
      <w:r>
        <w:rPr>
          <w:rFonts w:hint="eastAsia" w:ascii="仿宋_GB2312" w:eastAsia="仿宋_GB2312"/>
          <w:sz w:val="32"/>
          <w:szCs w:val="32"/>
        </w:rPr>
        <w:t>160余</w:t>
      </w:r>
      <w:r>
        <w:rPr>
          <w:rFonts w:hint="eastAsia" w:ascii="仿宋_GB2312" w:hAnsi="Calibri" w:eastAsia="仿宋_GB2312" w:cs="Times New Roman"/>
          <w:sz w:val="32"/>
          <w:szCs w:val="32"/>
        </w:rPr>
        <w:t>条。通过网站、新闻发布会、大众日报、潍坊晚报等渠道及时公开棚户区改造重点信息，印发了《棚户区改造和住房保障工作纪实》汇编分发到群众手中。全面公开公共租赁住房的分配政策、分配程序、分配房源等信息，</w:t>
      </w:r>
      <w:r>
        <w:rPr>
          <w:rFonts w:hint="eastAsia" w:ascii="仿宋_GB2312" w:eastAsia="仿宋_GB2312"/>
          <w:sz w:val="32"/>
          <w:szCs w:val="32"/>
        </w:rPr>
        <w:t>市本级全年</w:t>
      </w:r>
      <w:r>
        <w:rPr>
          <w:rFonts w:hint="eastAsia" w:ascii="仿宋_GB2312" w:hAnsi="Calibri" w:eastAsia="仿宋_GB2312" w:cs="Times New Roman"/>
          <w:sz w:val="32"/>
          <w:szCs w:val="32"/>
        </w:rPr>
        <w:t>共发布棚改信息</w:t>
      </w:r>
      <w:r>
        <w:rPr>
          <w:rFonts w:hint="eastAsia" w:ascii="仿宋_GB2312" w:eastAsia="仿宋_GB2312"/>
          <w:sz w:val="32"/>
          <w:szCs w:val="32"/>
        </w:rPr>
        <w:t>以及</w:t>
      </w:r>
      <w:r>
        <w:rPr>
          <w:rFonts w:hint="eastAsia" w:ascii="仿宋_GB2312" w:hAnsi="Calibri" w:eastAsia="仿宋_GB2312" w:cs="Times New Roman"/>
          <w:sz w:val="32"/>
          <w:szCs w:val="32"/>
        </w:rPr>
        <w:t>保障性住房审核、分配公示</w:t>
      </w:r>
      <w:r>
        <w:rPr>
          <w:rFonts w:hint="eastAsia" w:ascii="仿宋_GB2312" w:eastAsia="仿宋_GB2312"/>
          <w:sz w:val="32"/>
          <w:szCs w:val="32"/>
        </w:rPr>
        <w:t>6</w:t>
      </w:r>
      <w:r>
        <w:rPr>
          <w:rFonts w:hint="eastAsia" w:ascii="仿宋_GB2312" w:hAnsi="Calibri" w:eastAsia="仿宋_GB2312" w:cs="Times New Roman"/>
          <w:sz w:val="32"/>
          <w:szCs w:val="32"/>
        </w:rPr>
        <w:t>0余</w:t>
      </w:r>
      <w:r>
        <w:rPr>
          <w:rFonts w:hint="eastAsia" w:ascii="仿宋_GB2312" w:eastAsia="仿宋_GB2312"/>
          <w:sz w:val="32"/>
          <w:szCs w:val="32"/>
        </w:rPr>
        <w:t>条。</w:t>
      </w:r>
      <w:r>
        <w:rPr>
          <w:rFonts w:hint="eastAsia" w:ascii="Calibri" w:hAnsi="仿宋_GB2312" w:eastAsia="仿宋_GB2312" w:cs="Times New Roman"/>
          <w:kern w:val="0"/>
          <w:sz w:val="32"/>
          <w:szCs w:val="32"/>
        </w:rPr>
        <w:t>定期公开全市农村无害化卫生厕所改造进展情况通报</w:t>
      </w:r>
      <w:r>
        <w:rPr>
          <w:rFonts w:hint="eastAsia" w:hAnsi="仿宋_GB2312" w:eastAsia="仿宋_GB2312"/>
          <w:kern w:val="0"/>
          <w:sz w:val="32"/>
          <w:szCs w:val="32"/>
        </w:rPr>
        <w:t>，</w:t>
      </w:r>
      <w:r>
        <w:rPr>
          <w:rFonts w:hint="eastAsia" w:ascii="Calibri" w:hAnsi="仿宋_GB2312" w:eastAsia="仿宋_GB2312" w:cs="Times New Roman"/>
          <w:kern w:val="0"/>
          <w:sz w:val="32"/>
          <w:szCs w:val="32"/>
        </w:rPr>
        <w:t>及时</w:t>
      </w:r>
      <w:r>
        <w:rPr>
          <w:rFonts w:hint="eastAsia" w:ascii="仿宋_GB2312" w:hAnsi="Calibri" w:eastAsia="仿宋_GB2312" w:cs="Times New Roman"/>
          <w:sz w:val="32"/>
          <w:szCs w:val="32"/>
        </w:rPr>
        <w:t>发布老旧小区改造名单等信息</w:t>
      </w:r>
      <w:r>
        <w:rPr>
          <w:rFonts w:hint="eastAsia" w:ascii="仿宋_GB2312" w:eastAsia="仿宋_GB2312"/>
          <w:sz w:val="32"/>
          <w:szCs w:val="32"/>
        </w:rPr>
        <w:t>30余</w:t>
      </w:r>
      <w:r>
        <w:rPr>
          <w:rFonts w:hint="eastAsia" w:ascii="仿宋_GB2312" w:hAnsi="Calibri" w:eastAsia="仿宋_GB2312" w:cs="Times New Roman"/>
          <w:sz w:val="32"/>
          <w:szCs w:val="32"/>
        </w:rPr>
        <w:t>条。</w:t>
      </w:r>
    </w:p>
    <w:p>
      <w:pPr>
        <w:rPr>
          <w:rFonts w:ascii="仿宋_GB2312" w:eastAsia="仿宋_GB2312"/>
          <w:sz w:val="32"/>
          <w:szCs w:val="32"/>
        </w:rPr>
      </w:pPr>
      <w:r>
        <w:drawing>
          <wp:inline distT="0" distB="0" distL="114300" distR="114300">
            <wp:extent cx="5267960" cy="2818130"/>
            <wp:effectExtent l="0" t="0" r="8890" b="12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3"/>
                    <a:stretch>
                      <a:fillRect/>
                    </a:stretch>
                  </pic:blipFill>
                  <pic:spPr>
                    <a:xfrm>
                      <a:off x="0" y="0"/>
                      <a:ext cx="5267960" cy="2818130"/>
                    </a:xfrm>
                    <a:prstGeom prst="rect">
                      <a:avLst/>
                    </a:prstGeom>
                    <a:noFill/>
                    <a:ln w="9525">
                      <a:noFill/>
                    </a:ln>
                  </pic:spPr>
                </pic:pic>
              </a:graphicData>
            </a:graphic>
          </wp:inline>
        </w:drawing>
      </w:r>
    </w:p>
    <w:p>
      <w:pPr>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及时公开土地供应信息，市本级及8县市分别于3月底前将2017年度建设用地供应计划录入土地市场动态监测与监管系统，并在中国土地市场网及国土部门等相关网站公开。市本级全年共发布出让公告408条、成交公示447条、城市地价动态监测数据4条、其他供应方式公示信息272条。依托山东省征地信息公开查询系统及时公开征地信息，加快推进市、县公开数据信息共享，为公众提供高效便捷的查询服务。市本级全年共发布批前征地信息1149条，批后征地信息120条。</w:t>
      </w:r>
    </w:p>
    <w:p>
      <w:pP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74310" cy="3629025"/>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4" cstate="print"/>
                    <a:srcRect/>
                    <a:stretch>
                      <a:fillRect/>
                    </a:stretch>
                  </pic:blipFill>
                  <pic:spPr>
                    <a:xfrm>
                      <a:off x="0" y="0"/>
                      <a:ext cx="5274310" cy="3629103"/>
                    </a:xfrm>
                    <a:prstGeom prst="rect">
                      <a:avLst/>
                    </a:prstGeom>
                    <a:noFill/>
                    <a:ln w="9525">
                      <a:noFill/>
                      <a:miter lim="800000"/>
                      <a:headEnd/>
                      <a:tailEnd/>
                    </a:ln>
                  </pic:spPr>
                </pic:pic>
              </a:graphicData>
            </a:graphic>
          </wp:inline>
        </w:drawing>
      </w:r>
    </w:p>
    <w:p>
      <w:pPr>
        <w:widowControl/>
        <w:spacing w:line="620" w:lineRule="exact"/>
        <w:ind w:firstLine="600"/>
        <w:rPr>
          <w:rFonts w:ascii="仿宋_GB2312" w:hAnsi="仿宋_GB2312" w:eastAsia="仿宋_GB2312" w:cs="仿宋_GB2312"/>
          <w:sz w:val="32"/>
          <w:szCs w:val="40"/>
        </w:rPr>
      </w:pPr>
      <w:r>
        <w:rPr>
          <w:rFonts w:hint="eastAsia" w:ascii="楷体_GB2312" w:eastAsia="楷体_GB2312" w:cs="微软雅黑"/>
          <w:kern w:val="0"/>
          <w:sz w:val="32"/>
          <w:szCs w:val="32"/>
          <w:lang w:val="zh-CN"/>
        </w:rPr>
        <w:t>9.公共监管信息公开</w:t>
      </w:r>
      <w:r>
        <w:rPr>
          <w:rFonts w:hint="eastAsia" w:ascii="楷体_GB2312" w:eastAsia="楷体_GB2312" w:cs="微软雅黑"/>
          <w:kern w:val="0"/>
          <w:sz w:val="32"/>
          <w:szCs w:val="32"/>
          <w:lang w:val="zh-CN" w:eastAsia="zh-CN"/>
        </w:rPr>
        <w:t>。</w:t>
      </w:r>
      <w:r>
        <w:rPr>
          <w:rFonts w:hint="eastAsia" w:ascii="仿宋_GB2312" w:hAnsi="仿宋_GB2312" w:eastAsia="仿宋_GB2312" w:cs="仿宋_GB2312"/>
          <w:sz w:val="32"/>
          <w:szCs w:val="32"/>
        </w:rPr>
        <w:t>积极做好安全事故预警信息发布工作，及时发布潍坊市调查处理的安全生产事故报告和各地安全事故警示信息20余条。每月定期在潍坊日报、网站、政务微信微博公布执法检查的</w:t>
      </w:r>
      <w:r>
        <w:rPr>
          <w:rFonts w:ascii="仿宋_GB2312" w:hAnsi="仿宋_GB2312" w:eastAsia="仿宋_GB2312" w:cs="仿宋_GB2312"/>
          <w:sz w:val="32"/>
          <w:szCs w:val="32"/>
        </w:rPr>
        <w:t>安全生产违法案件信息</w:t>
      </w:r>
      <w:r>
        <w:rPr>
          <w:rFonts w:hint="eastAsia" w:ascii="仿宋_GB2312" w:hAnsi="仿宋_GB2312" w:eastAsia="仿宋_GB2312" w:cs="仿宋_GB2312"/>
          <w:sz w:val="32"/>
          <w:szCs w:val="32"/>
        </w:rPr>
        <w:t>40余条，分两次向社会公布了潍坊市安全生产不良记录“黑名单”信息。</w:t>
      </w:r>
      <w:r>
        <w:rPr>
          <w:rFonts w:hint="eastAsia" w:ascii="仿宋_GB2312" w:hAnsi="仿宋_GB2312" w:eastAsia="仿宋_GB2312" w:cs="仿宋_GB2312"/>
          <w:sz w:val="32"/>
          <w:szCs w:val="40"/>
        </w:rPr>
        <w:t>积极履行国有企业监管职责，构建以“管资本”为主的国有企业监管体系，</w:t>
      </w:r>
      <w:r>
        <w:rPr>
          <w:rFonts w:hint="eastAsia" w:ascii="仿宋_GB2312" w:hAnsi="仿宋_GB2312" w:eastAsia="仿宋_GB2312" w:cs="仿宋_GB2312"/>
          <w:sz w:val="32"/>
          <w:szCs w:val="32"/>
        </w:rPr>
        <w:t>市本级全年共发布</w:t>
      </w:r>
      <w:r>
        <w:rPr>
          <w:rFonts w:hint="eastAsia" w:ascii="仿宋_GB2312" w:eastAsia="仿宋_GB2312"/>
          <w:sz w:val="32"/>
          <w:szCs w:val="32"/>
        </w:rPr>
        <w:t>市管企业改革重组、主要财务指标、整体运行情况、业绩考核、企业负责人年度薪酬等信息150余条，</w:t>
      </w:r>
      <w:r>
        <w:rPr>
          <w:rFonts w:hint="eastAsia" w:ascii="仿宋_GB2312" w:hAnsi="仿宋_GB2312" w:eastAsia="仿宋_GB2312" w:cs="仿宋_GB2312"/>
          <w:sz w:val="32"/>
          <w:szCs w:val="40"/>
        </w:rPr>
        <w:t>实现资产、负债、营业收入、利润等指标按月公开。</w:t>
      </w:r>
    </w:p>
    <w:p>
      <w:pPr>
        <w:rPr>
          <w:rFonts w:ascii="仿宋_GB2312" w:eastAsia="仿宋_GB2312"/>
          <w:sz w:val="32"/>
          <w:szCs w:val="32"/>
        </w:rPr>
      </w:pPr>
      <w:r>
        <w:rPr>
          <w:rFonts w:ascii="仿宋_GB2312" w:eastAsia="仿宋_GB2312"/>
          <w:sz w:val="32"/>
          <w:szCs w:val="32"/>
        </w:rPr>
        <w:drawing>
          <wp:inline distT="0" distB="0" distL="0" distR="0">
            <wp:extent cx="5274310" cy="3670300"/>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5" cstate="print"/>
                    <a:srcRect/>
                    <a:stretch>
                      <a:fillRect/>
                    </a:stretch>
                  </pic:blipFill>
                  <pic:spPr>
                    <a:xfrm>
                      <a:off x="0" y="0"/>
                      <a:ext cx="5274310" cy="3670564"/>
                    </a:xfrm>
                    <a:prstGeom prst="rect">
                      <a:avLst/>
                    </a:prstGeom>
                    <a:noFill/>
                    <a:ln w="9525">
                      <a:noFill/>
                      <a:miter lim="800000"/>
                      <a:headEnd/>
                      <a:tailEnd/>
                    </a:ln>
                  </pic:spPr>
                </pic:pic>
              </a:graphicData>
            </a:graphic>
          </wp:inline>
        </w:drawing>
      </w:r>
    </w:p>
    <w:p>
      <w:pPr>
        <w:widowControl/>
        <w:spacing w:line="620" w:lineRule="exact"/>
        <w:ind w:firstLine="600"/>
        <w:rPr>
          <w:rFonts w:ascii="楷体_GB2312" w:eastAsia="楷体_GB2312" w:cs="微软雅黑"/>
          <w:kern w:val="0"/>
          <w:sz w:val="32"/>
          <w:szCs w:val="32"/>
          <w:lang w:val="zh-CN"/>
        </w:rPr>
      </w:pPr>
      <w:r>
        <w:rPr>
          <w:rFonts w:hint="eastAsia" w:ascii="楷体_GB2312" w:eastAsia="楷体_GB2312" w:cs="微软雅黑"/>
          <w:kern w:val="0"/>
          <w:sz w:val="32"/>
          <w:szCs w:val="32"/>
          <w:lang w:val="zh-CN"/>
        </w:rPr>
        <w:t>（二）公开形式</w:t>
      </w:r>
    </w:p>
    <w:p>
      <w:pPr>
        <w:widowControl/>
        <w:spacing w:line="620" w:lineRule="exact"/>
        <w:ind w:firstLine="640"/>
        <w:rPr>
          <w:rFonts w:ascii="仿宋_GB2312" w:eastAsia="仿宋_GB2312" w:cs="微软雅黑"/>
          <w:kern w:val="0"/>
          <w:sz w:val="32"/>
          <w:szCs w:val="32"/>
          <w:lang w:val="zh-CN"/>
        </w:rPr>
      </w:pPr>
      <w:r>
        <w:rPr>
          <w:rFonts w:hint="eastAsia" w:ascii="楷体_GB2312" w:hAnsi="楷体_GB2312" w:eastAsia="楷体_GB2312" w:cs="楷体_GB2312"/>
          <w:kern w:val="0"/>
          <w:sz w:val="32"/>
          <w:szCs w:val="32"/>
          <w:lang w:val="zh-CN"/>
        </w:rPr>
        <w:t>1.互联网。</w:t>
      </w:r>
      <w:r>
        <w:rPr>
          <w:rFonts w:hint="eastAsia" w:ascii="仿宋_GB2312" w:eastAsia="仿宋_GB2312" w:cs="微软雅黑"/>
          <w:kern w:val="0"/>
          <w:sz w:val="32"/>
          <w:szCs w:val="32"/>
          <w:lang w:val="zh-CN"/>
        </w:rPr>
        <w:t>市政府及政府部门、各县市区政府均在互联网上建立了网站或政府信息公开专栏，作为政府信息主动公开和依申请公开服务的主渠道。各级政府信息公开目录、指南、年度报告和相关工作制度均可通过政府网站查阅。</w:t>
      </w:r>
    </w:p>
    <w:p>
      <w:pPr>
        <w:widowControl/>
        <w:rPr>
          <w:rFonts w:ascii="仿宋_GB2312" w:eastAsia="仿宋_GB2312" w:cs="微软雅黑"/>
          <w:kern w:val="0"/>
          <w:sz w:val="32"/>
          <w:szCs w:val="32"/>
          <w:lang w:val="zh-CN"/>
        </w:rPr>
      </w:pPr>
      <w:r>
        <w:drawing>
          <wp:inline distT="0" distB="0" distL="114300" distR="114300">
            <wp:extent cx="5267325" cy="3005455"/>
            <wp:effectExtent l="0" t="0" r="9525" b="444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6"/>
                    <a:stretch>
                      <a:fillRect/>
                    </a:stretch>
                  </pic:blipFill>
                  <pic:spPr>
                    <a:xfrm>
                      <a:off x="0" y="0"/>
                      <a:ext cx="5267325" cy="3005455"/>
                    </a:xfrm>
                    <a:prstGeom prst="rect">
                      <a:avLst/>
                    </a:prstGeom>
                    <a:noFill/>
                    <a:ln w="9525">
                      <a:noFill/>
                    </a:ln>
                  </pic:spPr>
                </pic:pic>
              </a:graphicData>
            </a:graphic>
          </wp:inline>
        </w:drawing>
      </w:r>
    </w:p>
    <w:p>
      <w:pPr>
        <w:spacing w:line="62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kern w:val="0"/>
          <w:sz w:val="32"/>
          <w:szCs w:val="32"/>
          <w:lang w:val="zh-CN"/>
        </w:rPr>
        <w:t>2.新闻发布会。</w:t>
      </w:r>
      <w:r>
        <w:rPr>
          <w:rFonts w:hint="eastAsia" w:ascii="仿宋_GB2312" w:eastAsia="仿宋_GB2312" w:cs="微软雅黑"/>
          <w:kern w:val="0"/>
          <w:sz w:val="32"/>
          <w:szCs w:val="32"/>
          <w:lang w:val="zh-CN"/>
        </w:rPr>
        <w:t>2017年，全市各级各部门共召开新闻发布会218场，</w:t>
      </w:r>
      <w:r>
        <w:rPr>
          <w:rFonts w:hint="eastAsia" w:ascii="仿宋_GB2312" w:hAnsi="仿宋_GB2312" w:eastAsia="仿宋_GB2312" w:cs="仿宋_GB2312"/>
          <w:sz w:val="32"/>
          <w:szCs w:val="32"/>
        </w:rPr>
        <w:t>其中，市级及以上新闻发布会70场，较去年增加9场，新闻发布场次和质量均居全省前列</w:t>
      </w:r>
      <w:r>
        <w:rPr>
          <w:rFonts w:hint="eastAsia" w:ascii="仿宋_GB2312" w:eastAsia="仿宋_GB2312" w:cs="微软雅黑"/>
          <w:kern w:val="0"/>
          <w:sz w:val="32"/>
          <w:szCs w:val="32"/>
          <w:lang w:val="zh-CN"/>
        </w:rPr>
        <w:t>。其中，在</w:t>
      </w:r>
      <w:r>
        <w:rPr>
          <w:rFonts w:hint="eastAsia" w:ascii="仿宋_GB2312" w:hAnsi="仿宋_GB2312" w:eastAsia="仿宋_GB2312" w:cs="仿宋_GB2312"/>
          <w:sz w:val="32"/>
          <w:szCs w:val="32"/>
        </w:rPr>
        <w:t>北京市召开了潍坊农产品区域公用品牌、2017全国农商互联大会、2017中日韩产业博览会、第34届国际风筝会新闻发布会，在济南市召开了第23届鲁台会新闻发布会。</w:t>
      </w:r>
    </w:p>
    <w:p>
      <w:pP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5274310" cy="2786380"/>
            <wp:effectExtent l="19050" t="0" r="2540" b="0"/>
            <wp:docPr id="47" name="图片 47" descr="C:\Users\Administrator\Desktop\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640.webp.jpg"/>
                    <pic:cNvPicPr>
                      <a:picLocks noChangeAspect="1" noChangeArrowheads="1"/>
                    </pic:cNvPicPr>
                  </pic:nvPicPr>
                  <pic:blipFill>
                    <a:blip r:embed="rId27" cstate="print"/>
                    <a:srcRect/>
                    <a:stretch>
                      <a:fillRect/>
                    </a:stretch>
                  </pic:blipFill>
                  <pic:spPr>
                    <a:xfrm>
                      <a:off x="0" y="0"/>
                      <a:ext cx="5274310" cy="2786656"/>
                    </a:xfrm>
                    <a:prstGeom prst="rect">
                      <a:avLst/>
                    </a:prstGeom>
                    <a:noFill/>
                    <a:ln w="9525">
                      <a:noFill/>
                      <a:miter lim="800000"/>
                      <a:headEnd/>
                      <a:tailEnd/>
                    </a:ln>
                  </pic:spPr>
                </pic:pic>
              </a:graphicData>
            </a:graphic>
          </wp:inline>
        </w:drawing>
      </w:r>
    </w:p>
    <w:p>
      <w:pPr>
        <w:rPr>
          <w:rFonts w:ascii="仿宋_GB2312" w:eastAsia="仿宋_GB2312" w:cs="微软雅黑"/>
          <w:kern w:val="0"/>
          <w:sz w:val="32"/>
          <w:szCs w:val="32"/>
          <w:lang w:val="zh-CN"/>
        </w:rPr>
      </w:pPr>
      <w:r>
        <w:rPr>
          <w:rFonts w:hint="eastAsia" w:ascii="楷体_GB2312" w:hAnsi="楷体_GB2312" w:eastAsia="楷体_GB2312" w:cs="楷体_GB2312"/>
          <w:kern w:val="0"/>
          <w:sz w:val="32"/>
          <w:szCs w:val="32"/>
          <w:lang w:val="zh-CN"/>
        </w:rPr>
        <w:pict>
          <v:shape id="_x0000_i1025" o:spt="75" type="#_x0000_t75" style="height:24.2pt;width:24.2pt;" filled="f" o:preferrelative="t" stroked="f" coordsize="21600,21600">
            <v:path/>
            <v:fill on="f" focussize="0,0"/>
            <v:stroke on="f" joinstyle="miter"/>
            <v:imagedata o:title=""/>
            <o:lock v:ext="edit" aspectratio="t"/>
            <w10:wrap type="none"/>
            <w10:anchorlock/>
          </v:shape>
        </w:pict>
      </w:r>
      <w:r>
        <w:rPr>
          <w:rFonts w:hint="eastAsia" w:ascii="楷体_GB2312" w:hAnsi="楷体_GB2312" w:eastAsia="楷体_GB2312" w:cs="楷体_GB2312"/>
          <w:kern w:val="0"/>
          <w:sz w:val="32"/>
          <w:szCs w:val="32"/>
          <w:lang w:val="zh-CN"/>
        </w:rPr>
        <w:t>3.公共查阅场点。</w:t>
      </w:r>
      <w:r>
        <w:rPr>
          <w:rFonts w:hint="eastAsia" w:ascii="仿宋_GB2312" w:eastAsia="仿宋_GB2312" w:cs="微软雅黑"/>
          <w:kern w:val="0"/>
          <w:sz w:val="32"/>
          <w:szCs w:val="32"/>
          <w:lang w:val="zh-CN"/>
        </w:rPr>
        <w:t>市档案馆政府信息查阅点配备查阅计算机10台、阅览桌5张、纸质信息展示架6套，</w:t>
      </w:r>
      <w:r>
        <w:rPr>
          <w:rFonts w:hint="eastAsia" w:ascii="仿宋_GB2312" w:eastAsia="仿宋_GB2312"/>
          <w:sz w:val="32"/>
          <w:szCs w:val="32"/>
        </w:rPr>
        <w:t>并</w:t>
      </w:r>
      <w:r>
        <w:rPr>
          <w:rFonts w:hint="eastAsia" w:ascii="仿宋_GB2312" w:hAnsi="Calibri" w:eastAsia="仿宋_GB2312" w:cs="Times New Roman"/>
          <w:sz w:val="32"/>
          <w:szCs w:val="32"/>
        </w:rPr>
        <w:t>在查阅大厅内增设了无障碍通道，于2017年12月份</w:t>
      </w:r>
      <w:r>
        <w:rPr>
          <w:rFonts w:hint="eastAsia" w:ascii="仿宋_GB2312" w:eastAsia="仿宋_GB2312"/>
          <w:sz w:val="32"/>
          <w:szCs w:val="32"/>
        </w:rPr>
        <w:t>继续</w:t>
      </w:r>
      <w:r>
        <w:rPr>
          <w:rFonts w:hint="eastAsia" w:ascii="仿宋_GB2312" w:hAnsi="Calibri" w:eastAsia="仿宋_GB2312" w:cs="Times New Roman"/>
          <w:sz w:val="32"/>
          <w:szCs w:val="32"/>
        </w:rPr>
        <w:t>向社会开放一批档案，开放的档案成为政府信息公开资源的重要组成部分。</w:t>
      </w:r>
      <w:r>
        <w:rPr>
          <w:rFonts w:hint="eastAsia" w:ascii="仿宋_GB2312" w:eastAsia="仿宋_GB2312" w:cs="微软雅黑"/>
          <w:kern w:val="0"/>
          <w:sz w:val="32"/>
          <w:szCs w:val="32"/>
          <w:lang w:val="zh-CN"/>
        </w:rPr>
        <w:t>全年共接待查阅者350余人次，提供政府信息2500余条。市图书馆专门设立了公共查询场所，安装了期刊架、阅览桌椅，配备了计算机、打印机并提供多种免费查询方式，图书馆内部实行无线上网，读者可以利用自带设备免费上网查询政府信息。全年共接待查阅者1600余人次，提供政府信息3700余条。</w:t>
      </w:r>
    </w:p>
    <w:p>
      <w:pPr>
        <w:rPr>
          <w:rFonts w:ascii="仿宋_GB2312" w:eastAsia="仿宋_GB2312" w:cs="微软雅黑"/>
          <w:kern w:val="0"/>
          <w:sz w:val="32"/>
          <w:szCs w:val="32"/>
          <w:lang w:val="zh-CN"/>
        </w:rPr>
      </w:pPr>
      <w:r>
        <w:rPr>
          <w:rFonts w:ascii="仿宋_GB2312" w:eastAsia="仿宋_GB2312" w:cs="微软雅黑"/>
          <w:kern w:val="0"/>
          <w:sz w:val="32"/>
          <w:szCs w:val="32"/>
        </w:rPr>
        <w:drawing>
          <wp:inline distT="0" distB="0" distL="0" distR="0">
            <wp:extent cx="5274310" cy="3508375"/>
            <wp:effectExtent l="19050" t="0" r="2540" b="0"/>
            <wp:docPr id="49" name="图片 49" descr="C:\Users\Administrator\Desktop\档案馆、图书馆查询渠道情况\潍坊市在档案局设置政府信息查阅渠道的相关照片\图3：查阅服务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档案馆、图书馆查询渠道情况\潍坊市在档案局设置政府信息查阅渠道的相关照片\图3：查阅服务台.jpg"/>
                    <pic:cNvPicPr>
                      <a:picLocks noChangeAspect="1" noChangeArrowheads="1"/>
                    </pic:cNvPicPr>
                  </pic:nvPicPr>
                  <pic:blipFill>
                    <a:blip r:embed="rId28" cstate="print"/>
                    <a:srcRect/>
                    <a:stretch>
                      <a:fillRect/>
                    </a:stretch>
                  </pic:blipFill>
                  <pic:spPr>
                    <a:xfrm>
                      <a:off x="0" y="0"/>
                      <a:ext cx="5274310" cy="3508891"/>
                    </a:xfrm>
                    <a:prstGeom prst="rect">
                      <a:avLst/>
                    </a:prstGeom>
                    <a:noFill/>
                    <a:ln w="9525">
                      <a:noFill/>
                      <a:miter lim="800000"/>
                      <a:headEnd/>
                      <a:tailEnd/>
                    </a:ln>
                  </pic:spPr>
                </pic:pic>
              </a:graphicData>
            </a:graphic>
          </wp:inline>
        </w:drawing>
      </w:r>
    </w:p>
    <w:p>
      <w:pPr>
        <w:widowControl/>
        <w:spacing w:line="620" w:lineRule="exact"/>
        <w:ind w:firstLine="640"/>
        <w:rPr>
          <w:rFonts w:ascii="仿宋_GB2312" w:eastAsia="仿宋_GB2312" w:cs="微软雅黑"/>
          <w:kern w:val="0"/>
          <w:sz w:val="32"/>
          <w:szCs w:val="32"/>
          <w:lang w:val="zh-CN"/>
        </w:rPr>
      </w:pPr>
      <w:r>
        <w:rPr>
          <w:rFonts w:hint="eastAsia" w:ascii="楷体_GB2312" w:hAnsi="楷体_GB2312" w:eastAsia="楷体_GB2312" w:cs="楷体_GB2312"/>
          <w:kern w:val="0"/>
          <w:sz w:val="32"/>
          <w:szCs w:val="32"/>
          <w:lang w:val="zh-CN"/>
        </w:rPr>
        <w:t>4.政府公报。</w:t>
      </w:r>
      <w:r>
        <w:rPr>
          <w:rFonts w:hint="eastAsia" w:ascii="仿宋_GB2312" w:eastAsia="仿宋_GB2312" w:cs="微软雅黑"/>
          <w:kern w:val="0"/>
          <w:sz w:val="32"/>
          <w:szCs w:val="32"/>
          <w:lang w:val="zh-CN"/>
        </w:rPr>
        <w:t>2017年编辑出版《潍坊市人民政府公报》4期，共发布市政府和市政府办公室重要政策法规、规范性文件以及人事任免、表彰奖励等各类政府信息44件，免费赠送火车站、客运站、酒店、图书馆、政务服务中心等公共场所4.4万余份。</w:t>
      </w:r>
    </w:p>
    <w:p>
      <w:pPr>
        <w:widowControl/>
        <w:rPr>
          <w:rFonts w:ascii="仿宋_GB2312" w:eastAsia="仿宋_GB2312" w:cs="微软雅黑"/>
          <w:kern w:val="0"/>
          <w:sz w:val="32"/>
          <w:szCs w:val="32"/>
          <w:lang w:val="zh-CN"/>
        </w:rPr>
      </w:pPr>
      <w:r>
        <w:rPr>
          <w:rFonts w:ascii="仿宋_GB2312" w:eastAsia="仿宋_GB2312" w:cs="微软雅黑"/>
          <w:kern w:val="0"/>
          <w:sz w:val="32"/>
          <w:szCs w:val="32"/>
        </w:rPr>
        <w:drawing>
          <wp:inline distT="0" distB="0" distL="0" distR="0">
            <wp:extent cx="5274310" cy="2764155"/>
            <wp:effectExtent l="1905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9" cstate="print"/>
                    <a:srcRect/>
                    <a:stretch>
                      <a:fillRect/>
                    </a:stretch>
                  </pic:blipFill>
                  <pic:spPr>
                    <a:xfrm>
                      <a:off x="0" y="0"/>
                      <a:ext cx="5274310" cy="2764392"/>
                    </a:xfrm>
                    <a:prstGeom prst="rect">
                      <a:avLst/>
                    </a:prstGeom>
                    <a:noFill/>
                    <a:ln w="9525">
                      <a:noFill/>
                      <a:miter lim="800000"/>
                      <a:headEnd/>
                      <a:tailEnd/>
                    </a:ln>
                  </pic:spPr>
                </pic:pic>
              </a:graphicData>
            </a:graphic>
          </wp:inline>
        </w:drawing>
      </w:r>
    </w:p>
    <w:p>
      <w:pPr>
        <w:spacing w:line="620" w:lineRule="exact"/>
        <w:ind w:firstLine="640" w:firstLineChars="200"/>
        <w:rPr>
          <w:rFonts w:ascii="仿宋_GB2312" w:eastAsia="仿宋_GB2312"/>
          <w:sz w:val="32"/>
          <w:szCs w:val="32"/>
        </w:rPr>
      </w:pPr>
      <w:r>
        <w:rPr>
          <w:rFonts w:hint="eastAsia" w:ascii="楷体_GB2312" w:hAnsi="楷体_GB2312" w:eastAsia="楷体_GB2312" w:cs="楷体_GB2312"/>
          <w:kern w:val="0"/>
          <w:sz w:val="32"/>
          <w:szCs w:val="32"/>
          <w:lang w:val="zh-CN"/>
        </w:rPr>
        <w:t>5.政务微博微信。</w:t>
      </w:r>
      <w:r>
        <w:rPr>
          <w:rFonts w:hint="eastAsia" w:ascii="仿宋_GB2312" w:eastAsia="仿宋_GB2312" w:cs="微软雅黑"/>
          <w:kern w:val="0"/>
          <w:sz w:val="32"/>
          <w:szCs w:val="32"/>
          <w:lang w:val="zh-CN"/>
        </w:rPr>
        <w:t>充分</w:t>
      </w:r>
      <w:r>
        <w:rPr>
          <w:rFonts w:hint="eastAsia" w:ascii="仿宋_GB2312" w:eastAsia="仿宋_GB2312"/>
          <w:sz w:val="32"/>
          <w:szCs w:val="32"/>
        </w:rPr>
        <w:t>利用政务微博微信提升政府信息公开效能，截至2017年12月31日，政务微博“潍坊发布”已吸引粉丝144万，推送博文6200余条，总阅读量近7000万，政务微信“潍坊发布”累计推送365期、2124条，总阅读量近300万。“今日头条”客户端累计阅读量近700万，@潍坊发布获评“山东十大党政新闻发布微博”。</w:t>
      </w:r>
    </w:p>
    <w:p>
      <w:pPr>
        <w:rPr>
          <w:rFonts w:ascii="仿宋_GB2312" w:eastAsia="仿宋_GB2312"/>
          <w:sz w:val="32"/>
          <w:szCs w:val="32"/>
        </w:rPr>
      </w:pPr>
      <w:r>
        <w:rPr>
          <w:rFonts w:ascii="仿宋_GB2312" w:eastAsia="仿宋_GB2312"/>
          <w:sz w:val="32"/>
          <w:szCs w:val="32"/>
        </w:rPr>
        <w:drawing>
          <wp:inline distT="0" distB="0" distL="0" distR="0">
            <wp:extent cx="5274310" cy="2756535"/>
            <wp:effectExtent l="1905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0" cstate="print"/>
                    <a:srcRect/>
                    <a:stretch>
                      <a:fillRect/>
                    </a:stretch>
                  </pic:blipFill>
                  <pic:spPr>
                    <a:xfrm>
                      <a:off x="0" y="0"/>
                      <a:ext cx="5274310" cy="2757033"/>
                    </a:xfrm>
                    <a:prstGeom prst="rect">
                      <a:avLst/>
                    </a:prstGeom>
                    <a:noFill/>
                    <a:ln w="9525">
                      <a:noFill/>
                      <a:miter lim="800000"/>
                      <a:headEnd/>
                      <a:tailEnd/>
                    </a:ln>
                  </pic:spPr>
                </pic:pic>
              </a:graphicData>
            </a:graphic>
          </wp:inline>
        </w:drawing>
      </w:r>
    </w:p>
    <w:p>
      <w:pPr>
        <w:spacing w:line="620" w:lineRule="exact"/>
        <w:ind w:firstLine="640" w:firstLineChars="200"/>
        <w:rPr>
          <w:rFonts w:ascii="仿宋_GB2312" w:hAnsi="仿宋" w:eastAsia="仿宋_GB2312" w:cs="Times New Roman"/>
          <w:sz w:val="32"/>
          <w:szCs w:val="32"/>
        </w:rPr>
      </w:pPr>
      <w:r>
        <w:rPr>
          <w:rFonts w:hint="eastAsia" w:ascii="楷体_GB2312" w:hAnsi="楷体_GB2312" w:eastAsia="楷体_GB2312" w:cs="楷体_GB2312"/>
          <w:kern w:val="0"/>
          <w:sz w:val="32"/>
          <w:szCs w:val="32"/>
          <w:lang w:val="zh-CN"/>
        </w:rPr>
        <w:t>6.潍坊电视议事厅。</w:t>
      </w:r>
      <w:r>
        <w:rPr>
          <w:rFonts w:hint="eastAsia" w:ascii="仿宋_GB2312" w:hAnsi="仿宋" w:eastAsia="仿宋_GB2312" w:cs="Times New Roman"/>
          <w:sz w:val="32"/>
          <w:szCs w:val="32"/>
        </w:rPr>
        <w:t>创新重大决策部署解读方式，及时回应社会关注、群众关心热点，联合潍坊电视台创办了潍坊电视议事厅栏目。节目每周六播出，每期由市级有关部门主要负责人或分管负责人出席，解读相关政策或工作情况，现场回答观众提问，并邀请国家、省相关领域专家进行现场评论。</w:t>
      </w:r>
      <w:r>
        <w:rPr>
          <w:rFonts w:hint="eastAsia" w:ascii="仿宋_GB2312" w:hAnsi="仿宋" w:eastAsia="仿宋_GB2312"/>
          <w:sz w:val="32"/>
          <w:szCs w:val="32"/>
        </w:rPr>
        <w:t>2017年</w:t>
      </w:r>
      <w:r>
        <w:rPr>
          <w:rFonts w:hint="eastAsia" w:ascii="仿宋_GB2312" w:hAnsi="仿宋" w:eastAsia="仿宋_GB2312" w:cs="Times New Roman"/>
          <w:sz w:val="32"/>
          <w:szCs w:val="32"/>
        </w:rPr>
        <w:t>，围绕简政放权、创新创业、城市建设等政策措施以及冬季供暖、交通安全、环境整治等社会热点，录制播出节目52期，累计播出144期，收视率一直位居潍坊电视台8档自办栏目前三位，成为市委、市政府重大决策部署和重点工作的重要宣传解读平台。</w:t>
      </w:r>
    </w:p>
    <w:p>
      <w:pPr>
        <w:rPr>
          <w:rFonts w:ascii="仿宋_GB2312" w:hAnsi="仿宋" w:eastAsia="仿宋_GB2312" w:cs="Times New Roman"/>
          <w:sz w:val="32"/>
          <w:szCs w:val="32"/>
        </w:rPr>
      </w:pPr>
      <w:r>
        <w:drawing>
          <wp:inline distT="0" distB="0" distL="114300" distR="114300">
            <wp:extent cx="5273040" cy="5156835"/>
            <wp:effectExtent l="0" t="0" r="3810" b="57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1"/>
                    <a:stretch>
                      <a:fillRect/>
                    </a:stretch>
                  </pic:blipFill>
                  <pic:spPr>
                    <a:xfrm>
                      <a:off x="0" y="0"/>
                      <a:ext cx="5273040" cy="5156835"/>
                    </a:xfrm>
                    <a:prstGeom prst="rect">
                      <a:avLst/>
                    </a:prstGeom>
                    <a:noFill/>
                    <a:ln w="9525">
                      <a:noFill/>
                    </a:ln>
                  </pic:spPr>
                </pic:pic>
              </a:graphicData>
            </a:graphic>
          </wp:inline>
        </w:drawing>
      </w:r>
    </w:p>
    <w:p>
      <w:pPr>
        <w:widowControl/>
        <w:spacing w:line="620" w:lineRule="exact"/>
        <w:ind w:firstLine="640"/>
        <w:jc w:val="left"/>
        <w:rPr>
          <w:rFonts w:ascii="仿宋_GB2312" w:eastAsia="仿宋_GB2312" w:cs="微软雅黑"/>
          <w:kern w:val="0"/>
          <w:sz w:val="32"/>
          <w:szCs w:val="32"/>
          <w:lang w:val="zh-CN"/>
        </w:rPr>
      </w:pPr>
      <w:r>
        <w:rPr>
          <w:rFonts w:hint="eastAsia" w:ascii="仿宋_GB2312" w:eastAsia="仿宋_GB2312" w:cs="微软雅黑"/>
          <w:kern w:val="0"/>
          <w:sz w:val="32"/>
          <w:szCs w:val="32"/>
          <w:lang w:val="zh-CN"/>
        </w:rPr>
        <w:t>此外，全市各级各部门还通过报刊、广播、电视、手机短信等其他形式主动公开了政府信息。</w:t>
      </w:r>
    </w:p>
    <w:p>
      <w:pPr>
        <w:widowControl/>
        <w:spacing w:line="620" w:lineRule="exact"/>
        <w:ind w:firstLine="600"/>
        <w:rPr>
          <w:rFonts w:ascii="黑体" w:hAnsi="黑体" w:eastAsia="黑体"/>
          <w:color w:val="3D3D3D"/>
          <w:sz w:val="32"/>
          <w:szCs w:val="32"/>
        </w:rPr>
      </w:pPr>
      <w:r>
        <w:rPr>
          <w:rFonts w:hint="eastAsia" w:ascii="黑体" w:hAnsi="黑体" w:eastAsia="黑体"/>
          <w:color w:val="3D3D3D"/>
          <w:sz w:val="32"/>
          <w:szCs w:val="32"/>
        </w:rPr>
        <w:t>三、依申请公开政府信息情况</w:t>
      </w:r>
    </w:p>
    <w:p>
      <w:pPr>
        <w:widowControl/>
        <w:spacing w:line="620" w:lineRule="exact"/>
        <w:ind w:firstLine="640"/>
        <w:jc w:val="both"/>
        <w:rPr>
          <w:rFonts w:ascii="微软雅黑" w:hAnsi="微软雅黑" w:eastAsia="微软雅黑" w:cs="宋体"/>
          <w:color w:val="3D3D3D"/>
          <w:kern w:val="0"/>
          <w:sz w:val="17"/>
          <w:szCs w:val="17"/>
        </w:rPr>
      </w:pPr>
      <w:r>
        <w:rPr>
          <w:rFonts w:hint="eastAsia" w:ascii="楷体_GB2312" w:eastAsia="楷体_GB2312" w:cs="微软雅黑"/>
          <w:kern w:val="0"/>
          <w:sz w:val="32"/>
          <w:szCs w:val="32"/>
          <w:lang w:val="zh-CN"/>
        </w:rPr>
        <w:t>（一）申请情况。</w:t>
      </w:r>
      <w:r>
        <w:rPr>
          <w:rFonts w:hint="eastAsia" w:ascii="仿宋_GB2312" w:hAnsi="宋体" w:eastAsia="仿宋_GB2312" w:cs="宋体"/>
          <w:kern w:val="0"/>
          <w:sz w:val="32"/>
          <w:szCs w:val="32"/>
        </w:rPr>
        <w:t>2017年，全市共收到政府信息公开申</w:t>
      </w:r>
      <w:r>
        <w:rPr>
          <w:rFonts w:hint="eastAsia" w:ascii="仿宋_GB2312" w:hAnsi="宋体" w:eastAsia="仿宋_GB2312" w:cs="宋体"/>
          <w:kern w:val="0"/>
          <w:sz w:val="32"/>
          <w:szCs w:val="32"/>
          <w:lang w:eastAsia="zh-CN"/>
        </w:rPr>
        <w:t>请</w:t>
      </w:r>
      <w:r>
        <w:rPr>
          <w:rFonts w:hint="eastAsia" w:ascii="仿宋_GB2312" w:hAnsi="宋体" w:eastAsia="仿宋_GB2312" w:cs="宋体"/>
          <w:kern w:val="0"/>
          <w:sz w:val="32"/>
          <w:szCs w:val="32"/>
        </w:rPr>
        <w:t>1525件，市政府及部门收到申请721件、各县市区人民政府和市属各开发区管委会及其部门收到申请804件。其中，信函及传真申请580件，网上填表及电子邮件申请751件，当面申请194件。申请量居前的事项主要涉及土地征收、拆迁安置、城市规划、项目审批等方面。</w:t>
      </w:r>
      <w:r>
        <w:rPr>
          <w:rFonts w:hint="eastAsia" w:ascii="仿宋_GB2312" w:hAnsi="宋体" w:eastAsia="仿宋_GB2312" w:cs="宋体"/>
          <w:kern w:val="0"/>
          <w:sz w:val="32"/>
          <w:szCs w:val="32"/>
        </w:rPr>
        <w:br w:type="textWrapping"/>
      </w:r>
      <w:r>
        <w:rPr>
          <w:rFonts w:hint="eastAsia" w:ascii="楷体_GB2312" w:eastAsia="楷体_GB2312" w:cs="微软雅黑"/>
          <w:kern w:val="0"/>
          <w:sz w:val="32"/>
          <w:szCs w:val="32"/>
          <w:lang w:val="zh-CN"/>
        </w:rPr>
        <w:t xml:space="preserve">    （二）申请处理情况。</w:t>
      </w:r>
      <w:r>
        <w:rPr>
          <w:rFonts w:hint="eastAsia" w:ascii="仿宋_GB2312" w:hAnsi="宋体" w:eastAsia="仿宋_GB2312" w:cs="宋体"/>
          <w:kern w:val="0"/>
          <w:sz w:val="32"/>
          <w:szCs w:val="32"/>
        </w:rPr>
        <w:t>2017年，全市共答复政府信息公开申请1525件。其中，“属于已主动公开范围数”308件，占20.20%；“同意公开”734件，占48.13%；“同意部分公开”35件，占2.30%；“不同意公开”48件，占3.15%；“不属于本行政机关公开”179件，占11.74%；“申请信息不存在”147件，占9.64%；“告知作出更改补充”39件，占2.56%；“告知通过其他途径办理”35件，占2.30%。在不同意公开的答复件中，涉及商业秘密4件，涉及个人隐私5件，不是《条例》所指政府信息28件。</w:t>
      </w:r>
      <w:r>
        <w:rPr>
          <w:rFonts w:hint="eastAsia" w:ascii="仿宋_GB2312" w:hAnsi="宋体" w:eastAsia="仿宋_GB2312" w:cs="宋体"/>
          <w:kern w:val="0"/>
          <w:sz w:val="32"/>
          <w:szCs w:val="32"/>
        </w:rPr>
        <w:br w:type="textWrapping"/>
      </w:r>
      <w:r>
        <w:rPr>
          <w:rFonts w:hint="eastAsia" w:ascii="楷体_GB2312" w:eastAsia="楷体_GB2312" w:cs="微软雅黑"/>
          <w:kern w:val="0"/>
          <w:sz w:val="32"/>
          <w:szCs w:val="32"/>
          <w:lang w:val="zh-CN"/>
        </w:rPr>
        <w:t xml:space="preserve">    （三）收费情况。</w:t>
      </w:r>
      <w:r>
        <w:rPr>
          <w:rFonts w:hint="eastAsia" w:ascii="仿宋_GB2312" w:eastAsia="仿宋_GB2312" w:cs="微软雅黑"/>
          <w:kern w:val="0"/>
          <w:sz w:val="32"/>
          <w:szCs w:val="32"/>
          <w:lang w:val="zh-CN"/>
        </w:rPr>
        <w:t>2017年度全市各级各部门均未因受理依申请公开而收取费用。</w:t>
      </w:r>
    </w:p>
    <w:p>
      <w:pPr>
        <w:widowControl/>
        <w:spacing w:line="620" w:lineRule="exact"/>
        <w:ind w:firstLine="600"/>
        <w:rPr>
          <w:rFonts w:ascii="黑体" w:hAnsi="黑体" w:eastAsia="黑体"/>
          <w:color w:val="3D3D3D"/>
          <w:sz w:val="32"/>
          <w:szCs w:val="32"/>
        </w:rPr>
      </w:pPr>
      <w:r>
        <w:rPr>
          <w:rFonts w:hint="eastAsia" w:ascii="黑体" w:hAnsi="黑体" w:eastAsia="黑体"/>
          <w:color w:val="3D3D3D"/>
          <w:sz w:val="32"/>
          <w:szCs w:val="32"/>
        </w:rPr>
        <w:t>四、举报、行政复议和行政诉讼的情况</w:t>
      </w:r>
    </w:p>
    <w:p>
      <w:pPr>
        <w:widowControl/>
        <w:spacing w:line="62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全市因政府信息公开工作发生投诉6件，其中纠错0件。全市以信息公开为案由被提起行政复议案件177件，其中维持原行政行为83件，被依法纠错45件，其他情形49件。</w:t>
      </w:r>
      <w:r>
        <w:rPr>
          <w:rFonts w:hint="eastAsia" w:ascii="仿宋_GB2312" w:hAnsi="宋体" w:eastAsia="仿宋_GB2312" w:cs="宋体"/>
          <w:kern w:val="0"/>
          <w:sz w:val="32"/>
          <w:szCs w:val="32"/>
        </w:rPr>
        <w:br w:type="textWrapping"/>
      </w:r>
      <w:r>
        <w:rPr>
          <w:rFonts w:hint="eastAsia" w:ascii="仿宋_GB2312" w:hAnsi="宋体" w:eastAsia="仿宋_GB2312" w:cs="宋体"/>
          <w:kern w:val="0"/>
          <w:sz w:val="32"/>
          <w:szCs w:val="32"/>
        </w:rPr>
        <w:t xml:space="preserve">    全市以信息公开为案由被提起行政诉讼案件224件，其中维持原行政行为136件，被依法纠错35件，其他情形53件。</w:t>
      </w:r>
    </w:p>
    <w:p>
      <w:pPr>
        <w:widowControl/>
        <w:spacing w:line="620" w:lineRule="exact"/>
        <w:ind w:firstLine="600"/>
        <w:rPr>
          <w:rFonts w:ascii="黑体" w:hAnsi="黑体" w:eastAsia="黑体"/>
          <w:color w:val="3D3D3D"/>
          <w:sz w:val="32"/>
          <w:szCs w:val="32"/>
        </w:rPr>
      </w:pPr>
      <w:r>
        <w:rPr>
          <w:rFonts w:hint="eastAsia" w:ascii="黑体" w:hAnsi="黑体" w:eastAsia="黑体"/>
          <w:color w:val="3D3D3D"/>
          <w:sz w:val="32"/>
          <w:szCs w:val="32"/>
        </w:rPr>
        <w:t>五、存在的主要问题及改进措施</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628" w:firstLineChars="0"/>
        <w:jc w:val="both"/>
        <w:textAlignment w:val="auto"/>
        <w:outlineLvl w:val="9"/>
        <w:rPr>
          <w:rFonts w:ascii="仿宋_GB2312" w:eastAsia="仿宋_GB2312" w:cs="微软雅黑"/>
          <w:kern w:val="0"/>
          <w:sz w:val="32"/>
          <w:szCs w:val="32"/>
          <w:lang w:val="zh-CN"/>
        </w:rPr>
      </w:pPr>
      <w:r>
        <w:rPr>
          <w:rFonts w:hint="eastAsia" w:ascii="仿宋_GB2312" w:eastAsia="仿宋_GB2312" w:cs="微软雅黑"/>
          <w:kern w:val="0"/>
          <w:sz w:val="32"/>
          <w:szCs w:val="32"/>
          <w:lang w:val="zh-CN"/>
        </w:rPr>
        <w:t>2017年，全市政府信息公开工作推进扎实有序，成效显著，但与党中央、国务院、省委、省政府和市委、市政府要求相比，与公众期望相比，还存在一些不足和薄弱环节，主要表现在：各级各部门工作开展不平衡，“五公开”工作机制还不够健全，解读回应的质量、频次和效果还不够高，</w:t>
      </w:r>
      <w:r>
        <w:rPr>
          <w:rFonts w:hint="eastAsia" w:ascii="仿宋_GB2312" w:hAnsi="Calibri" w:eastAsia="仿宋_GB2312" w:cs="微软雅黑"/>
          <w:kern w:val="0"/>
          <w:sz w:val="32"/>
          <w:szCs w:val="32"/>
          <w:lang w:val="zh-CN"/>
        </w:rPr>
        <w:t>依申请公开工作需进一步规范</w:t>
      </w:r>
      <w:r>
        <w:rPr>
          <w:rFonts w:hint="eastAsia" w:ascii="仿宋_GB2312" w:eastAsia="仿宋_GB2312" w:cs="微软雅黑"/>
          <w:kern w:val="0"/>
          <w:sz w:val="32"/>
          <w:szCs w:val="32"/>
          <w:lang w:val="zh-CN"/>
        </w:rPr>
        <w:t>等。</w:t>
      </w:r>
    </w:p>
    <w:p>
      <w:pPr>
        <w:spacing w:line="620" w:lineRule="exact"/>
        <w:ind w:firstLine="640" w:firstLineChars="200"/>
        <w:rPr>
          <w:rFonts w:ascii="仿宋_GB2312" w:eastAsia="仿宋_GB2312" w:cs="微软雅黑"/>
          <w:kern w:val="0"/>
          <w:sz w:val="32"/>
          <w:szCs w:val="32"/>
          <w:lang w:val="zh-CN"/>
        </w:rPr>
      </w:pPr>
      <w:r>
        <w:rPr>
          <w:rFonts w:hint="eastAsia" w:ascii="仿宋_GB2312" w:eastAsia="仿宋_GB2312" w:cs="微软雅黑"/>
          <w:kern w:val="0"/>
          <w:sz w:val="32"/>
          <w:szCs w:val="32"/>
          <w:lang w:val="zh-CN"/>
        </w:rPr>
        <w:t>2018年，将重点做好以下工作：</w:t>
      </w:r>
      <w:r>
        <w:rPr>
          <w:rFonts w:hint="eastAsia" w:ascii="楷体_GB2312" w:hAnsi="Calibri" w:eastAsia="楷体_GB2312" w:cs="微软雅黑"/>
          <w:kern w:val="0"/>
          <w:sz w:val="32"/>
          <w:szCs w:val="32"/>
          <w:lang w:val="zh-CN"/>
        </w:rPr>
        <w:t>一是强化制度机制建设。</w:t>
      </w:r>
      <w:r>
        <w:rPr>
          <w:rFonts w:hint="eastAsia" w:ascii="仿宋_GB2312" w:hAnsi="Calibri" w:eastAsia="仿宋_GB2312" w:cs="微软雅黑"/>
          <w:kern w:val="0"/>
          <w:sz w:val="32"/>
          <w:szCs w:val="32"/>
          <w:lang w:val="zh-CN"/>
        </w:rPr>
        <w:t>进一步健全“五公开”纳入办文办会流程、重点领域公开机制、解读回应机制等基础制度建设，为深化政务公开内容奠定制度基础</w:t>
      </w:r>
      <w:r>
        <w:rPr>
          <w:rStyle w:val="15"/>
          <w:rFonts w:hint="default" w:hAnsi="Calibri" w:cs="Times New Roman"/>
        </w:rPr>
        <w:t>。</w:t>
      </w:r>
      <w:r>
        <w:rPr>
          <w:rFonts w:hint="eastAsia" w:ascii="楷体_GB2312" w:hAnsi="Calibri" w:eastAsia="楷体_GB2312" w:cs="微软雅黑"/>
          <w:kern w:val="0"/>
          <w:sz w:val="32"/>
          <w:szCs w:val="32"/>
          <w:lang w:val="zh-CN"/>
        </w:rPr>
        <w:t>二是</w:t>
      </w:r>
      <w:bookmarkStart w:id="0" w:name="OLE_LINK3"/>
      <w:r>
        <w:rPr>
          <w:rFonts w:hint="eastAsia" w:ascii="楷体_GB2312" w:hAnsi="Calibri" w:eastAsia="楷体_GB2312" w:cs="微软雅黑"/>
          <w:kern w:val="0"/>
          <w:sz w:val="32"/>
          <w:szCs w:val="32"/>
          <w:lang w:val="zh-CN"/>
        </w:rPr>
        <w:t>加强政策解读和回应。</w:t>
      </w:r>
      <w:r>
        <w:rPr>
          <w:rFonts w:hint="eastAsia" w:ascii="仿宋_GB2312" w:eastAsia="仿宋_GB2312" w:cs="微软雅黑"/>
          <w:kern w:val="0"/>
          <w:sz w:val="32"/>
          <w:szCs w:val="32"/>
          <w:lang w:val="zh-CN"/>
        </w:rPr>
        <w:t>充分发挥各级政府和政府部门主要负责人“第一解读人和责任人”的作用，带头解读重大政策文件，创新解读方式方法，提高解读效果。健全完善</w:t>
      </w:r>
      <w:r>
        <w:rPr>
          <w:rFonts w:hint="eastAsia" w:ascii="仿宋_GB2312" w:hAnsi="Calibri" w:eastAsia="仿宋_GB2312" w:cs="微软雅黑"/>
          <w:kern w:val="0"/>
          <w:sz w:val="32"/>
          <w:szCs w:val="32"/>
          <w:lang w:val="zh-CN"/>
        </w:rPr>
        <w:t>政策性文件</w:t>
      </w:r>
      <w:bookmarkEnd w:id="0"/>
      <w:r>
        <w:rPr>
          <w:rFonts w:hint="eastAsia" w:ascii="仿宋_GB2312" w:eastAsia="仿宋_GB2312" w:cs="微软雅黑"/>
          <w:kern w:val="0"/>
          <w:sz w:val="32"/>
          <w:szCs w:val="32"/>
          <w:lang w:val="zh-CN"/>
        </w:rPr>
        <w:t>与解读方案、解读材料同步组织、同步审签、同步部署的工作机制</w:t>
      </w:r>
      <w:r>
        <w:rPr>
          <w:rFonts w:hint="eastAsia" w:ascii="仿宋_GB2312" w:hAnsi="Calibri" w:eastAsia="仿宋_GB2312" w:cs="微软雅黑"/>
          <w:kern w:val="0"/>
          <w:sz w:val="32"/>
          <w:szCs w:val="32"/>
          <w:lang w:val="zh-CN"/>
        </w:rPr>
        <w:t>。</w:t>
      </w:r>
      <w:r>
        <w:rPr>
          <w:rFonts w:hint="eastAsia" w:ascii="楷体_GB2312" w:eastAsia="楷体_GB2312" w:cs="微软雅黑"/>
          <w:kern w:val="0"/>
          <w:sz w:val="32"/>
          <w:szCs w:val="32"/>
          <w:lang w:val="zh-CN"/>
        </w:rPr>
        <w:t>三是</w:t>
      </w:r>
      <w:r>
        <w:rPr>
          <w:rFonts w:hint="eastAsia" w:ascii="楷体_GB2312" w:hAnsi="Calibri" w:eastAsia="楷体_GB2312" w:cs="微软雅黑"/>
          <w:kern w:val="0"/>
          <w:sz w:val="32"/>
          <w:szCs w:val="32"/>
          <w:lang w:val="zh-CN"/>
        </w:rPr>
        <w:t>切实做好政府信息依申请公开工作。</w:t>
      </w:r>
      <w:r>
        <w:rPr>
          <w:rFonts w:hint="eastAsia" w:ascii="仿宋_GB2312" w:hAnsi="Calibri" w:eastAsia="仿宋_GB2312" w:cs="微软雅黑"/>
          <w:kern w:val="0"/>
          <w:sz w:val="32"/>
          <w:szCs w:val="32"/>
          <w:lang w:val="zh-CN"/>
        </w:rPr>
        <w:t>进一步完善依申请公开信息工作会商机制，发挥好政府法律顾问智囊团作用，增强申请答复的准确性和规范性，提高政府公信力。</w:t>
      </w:r>
      <w:r>
        <w:rPr>
          <w:rFonts w:hint="eastAsia" w:ascii="楷体_GB2312" w:eastAsia="楷体_GB2312" w:cs="微软雅黑"/>
          <w:kern w:val="0"/>
          <w:sz w:val="32"/>
          <w:szCs w:val="32"/>
          <w:lang w:val="zh-CN"/>
        </w:rPr>
        <w:t>四是加强学习培训。</w:t>
      </w:r>
      <w:r>
        <w:rPr>
          <w:rFonts w:hint="eastAsia" w:ascii="仿宋_GB2312" w:eastAsia="仿宋_GB2312" w:cs="微软雅黑"/>
          <w:kern w:val="0"/>
          <w:sz w:val="32"/>
          <w:szCs w:val="32"/>
          <w:lang w:val="zh-CN"/>
        </w:rPr>
        <w:t>年内市政府举办培训班1次、各级各部门举办不少于1次的专题培训，不断提升各级各部门工作人员的公开意识和业务水平。</w:t>
      </w:r>
      <w:bookmarkStart w:id="1" w:name="OLE_LINK2"/>
      <w:r>
        <w:rPr>
          <w:rFonts w:hint="eastAsia" w:ascii="楷体_GB2312" w:eastAsia="楷体_GB2312" w:cs="微软雅黑"/>
          <w:kern w:val="0"/>
          <w:sz w:val="32"/>
          <w:szCs w:val="32"/>
          <w:lang w:val="zh-CN"/>
        </w:rPr>
        <w:t>五是</w:t>
      </w:r>
      <w:r>
        <w:rPr>
          <w:rFonts w:hint="eastAsia" w:ascii="楷体_GB2312" w:hAnsi="Calibri" w:eastAsia="楷体_GB2312" w:cs="微软雅黑"/>
          <w:kern w:val="0"/>
          <w:sz w:val="32"/>
          <w:szCs w:val="32"/>
          <w:lang w:val="zh-CN"/>
        </w:rPr>
        <w:t>加强监督检查。</w:t>
      </w:r>
      <w:r>
        <w:rPr>
          <w:rFonts w:hint="eastAsia" w:ascii="仿宋_GB2312" w:hAnsi="Calibri" w:eastAsia="仿宋_GB2312" w:cs="微软雅黑"/>
          <w:kern w:val="0"/>
          <w:sz w:val="32"/>
          <w:szCs w:val="32"/>
          <w:lang w:val="zh-CN"/>
        </w:rPr>
        <w:t>围绕“五公开”、政策解读、回应社会关切、公开平台建设、依申请公开等重点工作，</w:t>
      </w:r>
      <w:bookmarkEnd w:id="1"/>
      <w:r>
        <w:rPr>
          <w:rFonts w:hint="eastAsia" w:ascii="仿宋_GB2312" w:hAnsi="Calibri" w:eastAsia="仿宋_GB2312" w:cs="微软雅黑"/>
          <w:kern w:val="0"/>
          <w:sz w:val="32"/>
          <w:szCs w:val="32"/>
          <w:lang w:val="zh-CN"/>
        </w:rPr>
        <w:t>强化日常监督考评，定期对各级各部门的政务公开工作推进情况进行专题督查，推进政务公开制度化、规范化、常态化。</w:t>
      </w:r>
    </w:p>
    <w:p>
      <w:pPr>
        <w:spacing w:line="620" w:lineRule="exact"/>
        <w:ind w:firstLine="640" w:firstLineChars="200"/>
        <w:rPr>
          <w:rFonts w:ascii="仿宋_GB2312" w:eastAsia="仿宋_GB2312" w:cs="微软雅黑"/>
          <w:kern w:val="0"/>
          <w:sz w:val="32"/>
          <w:szCs w:val="32"/>
          <w:lang w:val="zh-CN"/>
        </w:rPr>
      </w:pPr>
    </w:p>
    <w:p>
      <w:pPr>
        <w:widowControl/>
        <w:spacing w:line="620" w:lineRule="exact"/>
        <w:ind w:firstLine="640"/>
        <w:jc w:val="left"/>
        <w:rPr>
          <w:rFonts w:ascii="仿宋_GB2312" w:eastAsia="仿宋_GB2312" w:cs="微软雅黑"/>
          <w:kern w:val="0"/>
          <w:sz w:val="32"/>
          <w:szCs w:val="32"/>
          <w:lang w:val="zh-CN"/>
        </w:rPr>
      </w:pPr>
      <w:r>
        <w:rPr>
          <w:rFonts w:hint="eastAsia" w:ascii="仿宋_GB2312" w:eastAsia="仿宋_GB2312" w:cs="微软雅黑"/>
          <w:kern w:val="0"/>
          <w:sz w:val="32"/>
          <w:szCs w:val="32"/>
          <w:lang w:val="zh-CN"/>
        </w:rPr>
        <w:t>附件：1.2017年度政府信息公开工作情况统计表（市本</w:t>
      </w:r>
    </w:p>
    <w:p>
      <w:pPr>
        <w:widowControl/>
        <w:spacing w:line="620" w:lineRule="exact"/>
        <w:ind w:firstLine="1920" w:firstLineChars="600"/>
        <w:jc w:val="left"/>
        <w:rPr>
          <w:rFonts w:ascii="仿宋_GB2312" w:eastAsia="仿宋_GB2312" w:cs="微软雅黑"/>
          <w:kern w:val="0"/>
          <w:sz w:val="32"/>
          <w:szCs w:val="32"/>
          <w:lang w:val="zh-CN"/>
        </w:rPr>
      </w:pPr>
      <w:r>
        <w:rPr>
          <w:rFonts w:hint="eastAsia" w:ascii="仿宋_GB2312" w:eastAsia="仿宋_GB2312" w:cs="微软雅黑"/>
          <w:kern w:val="0"/>
          <w:sz w:val="32"/>
          <w:szCs w:val="32"/>
          <w:lang w:val="zh-CN"/>
        </w:rPr>
        <w:t>级）</w:t>
      </w:r>
    </w:p>
    <w:p>
      <w:pPr>
        <w:widowControl/>
        <w:spacing w:line="620" w:lineRule="exact"/>
        <w:ind w:firstLine="1600" w:firstLineChars="500"/>
        <w:jc w:val="left"/>
        <w:rPr>
          <w:rFonts w:ascii="仿宋_GB2312" w:eastAsia="仿宋_GB2312" w:cs="微软雅黑"/>
          <w:kern w:val="0"/>
          <w:sz w:val="32"/>
          <w:szCs w:val="32"/>
          <w:lang w:val="zh-CN"/>
        </w:rPr>
      </w:pPr>
      <w:r>
        <w:rPr>
          <w:rFonts w:hint="eastAsia" w:ascii="仿宋_GB2312" w:eastAsia="仿宋_GB2312" w:cs="微软雅黑"/>
          <w:kern w:val="0"/>
          <w:sz w:val="32"/>
          <w:szCs w:val="32"/>
          <w:lang w:val="zh-CN"/>
        </w:rPr>
        <w:t>2.2017年度政府信息公开工作情况统计表（本行</w:t>
      </w:r>
    </w:p>
    <w:p>
      <w:pPr>
        <w:widowControl/>
        <w:spacing w:line="620" w:lineRule="exact"/>
        <w:ind w:firstLine="1920" w:firstLineChars="600"/>
        <w:jc w:val="left"/>
        <w:rPr>
          <w:rFonts w:ascii="仿宋_GB2312" w:eastAsia="仿宋_GB2312" w:cs="微软雅黑"/>
          <w:kern w:val="0"/>
          <w:sz w:val="32"/>
          <w:szCs w:val="32"/>
          <w:lang w:val="zh-CN"/>
        </w:rPr>
      </w:pPr>
      <w:r>
        <w:rPr>
          <w:rFonts w:hint="eastAsia" w:ascii="仿宋_GB2312" w:eastAsia="仿宋_GB2312" w:cs="微软雅黑"/>
          <w:kern w:val="0"/>
          <w:sz w:val="32"/>
          <w:szCs w:val="32"/>
          <w:lang w:val="zh-CN"/>
        </w:rPr>
        <w:t>政区域）</w:t>
      </w:r>
    </w:p>
    <w:p>
      <w:pPr>
        <w:widowControl/>
        <w:spacing w:line="620" w:lineRule="exact"/>
        <w:ind w:firstLine="1920" w:firstLineChars="600"/>
        <w:jc w:val="left"/>
        <w:rPr>
          <w:rFonts w:ascii="仿宋_GB2312" w:eastAsia="仿宋_GB2312" w:cs="微软雅黑"/>
          <w:kern w:val="0"/>
          <w:sz w:val="32"/>
          <w:szCs w:val="32"/>
          <w:lang w:val="zh-CN"/>
        </w:rPr>
      </w:pPr>
    </w:p>
    <w:p>
      <w:pPr>
        <w:widowControl/>
        <w:spacing w:line="620" w:lineRule="exact"/>
        <w:ind w:firstLine="1020" w:firstLineChars="600"/>
        <w:jc w:val="left"/>
        <w:rPr>
          <w:rFonts w:ascii="微软雅黑" w:hAnsi="微软雅黑" w:eastAsia="微软雅黑" w:cs="宋体"/>
          <w:color w:val="3D3D3D"/>
          <w:kern w:val="0"/>
          <w:sz w:val="17"/>
          <w:szCs w:val="17"/>
        </w:rPr>
      </w:pPr>
    </w:p>
    <w:p>
      <w:pPr>
        <w:widowControl/>
        <w:spacing w:line="620" w:lineRule="exact"/>
        <w:ind w:right="800"/>
        <w:jc w:val="right"/>
        <w:rPr>
          <w:rFonts w:ascii="仿宋_GB2312" w:eastAsia="仿宋_GB2312" w:cs="微软雅黑"/>
          <w:kern w:val="0"/>
          <w:sz w:val="32"/>
          <w:szCs w:val="32"/>
          <w:lang w:val="zh-CN"/>
        </w:rPr>
      </w:pPr>
      <w:r>
        <w:rPr>
          <w:rFonts w:hint="eastAsia" w:ascii="仿宋_GB2312" w:eastAsia="仿宋_GB2312" w:cs="微软雅黑"/>
          <w:kern w:val="0"/>
          <w:sz w:val="32"/>
          <w:szCs w:val="32"/>
          <w:lang w:val="zh-CN"/>
        </w:rPr>
        <w:t>潍坊市人民政府</w:t>
      </w:r>
    </w:p>
    <w:p>
      <w:pPr>
        <w:widowControl/>
        <w:spacing w:line="620" w:lineRule="exact"/>
        <w:ind w:right="640" w:firstLine="160" w:firstLineChars="50"/>
        <w:jc w:val="center"/>
        <w:rPr>
          <w:rFonts w:ascii="仿宋_GB2312" w:eastAsia="仿宋_GB2312" w:cs="微软雅黑"/>
          <w:kern w:val="0"/>
          <w:sz w:val="32"/>
          <w:szCs w:val="32"/>
          <w:lang w:val="zh-CN"/>
        </w:rPr>
      </w:pPr>
      <w:r>
        <w:rPr>
          <w:rFonts w:hint="eastAsia" w:ascii="仿宋_GB2312" w:eastAsia="仿宋_GB2312" w:cs="微软雅黑"/>
          <w:kern w:val="0"/>
          <w:sz w:val="32"/>
          <w:szCs w:val="32"/>
          <w:lang w:val="zh-CN"/>
        </w:rPr>
        <w:t xml:space="preserve">                                2018年3月</w:t>
      </w:r>
      <w:r>
        <w:rPr>
          <w:rFonts w:hint="eastAsia" w:ascii="仿宋_GB2312" w:eastAsia="仿宋_GB2312" w:cs="微软雅黑"/>
          <w:kern w:val="0"/>
          <w:sz w:val="32"/>
          <w:szCs w:val="32"/>
          <w:lang w:val="en-US" w:eastAsia="zh-CN"/>
        </w:rPr>
        <w:t>26</w:t>
      </w:r>
      <w:bookmarkStart w:id="2" w:name="_GoBack"/>
      <w:bookmarkEnd w:id="2"/>
      <w:r>
        <w:rPr>
          <w:rFonts w:hint="eastAsia" w:ascii="仿宋_GB2312" w:eastAsia="仿宋_GB2312" w:cs="微软雅黑"/>
          <w:kern w:val="0"/>
          <w:sz w:val="32"/>
          <w:szCs w:val="32"/>
          <w:lang w:val="zh-CN"/>
        </w:rPr>
        <w:t>日</w:t>
      </w:r>
    </w:p>
    <w:p>
      <w:pPr>
        <w:widowControl/>
        <w:spacing w:line="620" w:lineRule="exact"/>
        <w:ind w:right="640" w:firstLine="160" w:firstLineChars="50"/>
        <w:jc w:val="center"/>
        <w:rPr>
          <w:rFonts w:ascii="仿宋_GB2312" w:eastAsia="仿宋_GB2312" w:cs="微软雅黑"/>
          <w:kern w:val="0"/>
          <w:sz w:val="32"/>
          <w:szCs w:val="32"/>
          <w:lang w:val="zh-CN"/>
        </w:rPr>
      </w:pPr>
    </w:p>
    <w:p>
      <w:pPr>
        <w:jc w:val="left"/>
        <w:rPr>
          <w:rFonts w:ascii="黑体" w:hAnsi="黑体" w:eastAsia="黑体"/>
          <w:sz w:val="32"/>
        </w:rPr>
      </w:pPr>
    </w:p>
    <w:p>
      <w:pPr>
        <w:jc w:val="left"/>
        <w:rPr>
          <w:rFonts w:ascii="黑体" w:hAnsi="黑体" w:eastAsia="黑体"/>
          <w:sz w:val="32"/>
        </w:rPr>
      </w:pPr>
    </w:p>
    <w:p>
      <w:pPr>
        <w:jc w:val="left"/>
        <w:rPr>
          <w:rFonts w:ascii="黑体" w:hAnsi="黑体" w:eastAsia="黑体"/>
          <w:sz w:val="32"/>
        </w:rPr>
      </w:pPr>
    </w:p>
    <w:p>
      <w:pPr>
        <w:jc w:val="left"/>
        <w:rPr>
          <w:rFonts w:ascii="黑体" w:hAnsi="黑体" w:eastAsia="黑体"/>
          <w:sz w:val="32"/>
        </w:rPr>
      </w:pPr>
    </w:p>
    <w:p>
      <w:pPr>
        <w:jc w:val="left"/>
        <w:rPr>
          <w:rFonts w:hint="eastAsia" w:ascii="黑体" w:hAnsi="黑体" w:eastAsia="黑体"/>
          <w:sz w:val="32"/>
        </w:rPr>
      </w:pPr>
    </w:p>
    <w:p>
      <w:pPr>
        <w:jc w:val="left"/>
        <w:rPr>
          <w:rFonts w:hint="eastAsia" w:ascii="黑体" w:hAnsi="黑体" w:eastAsia="黑体"/>
          <w:sz w:val="32"/>
        </w:rPr>
      </w:pPr>
    </w:p>
    <w:p>
      <w:pPr>
        <w:jc w:val="left"/>
        <w:rPr>
          <w:rFonts w:hint="eastAsia" w:ascii="黑体" w:hAnsi="黑体" w:eastAsia="黑体"/>
          <w:sz w:val="32"/>
        </w:rPr>
      </w:pPr>
    </w:p>
    <w:p>
      <w:pPr>
        <w:jc w:val="left"/>
        <w:rPr>
          <w:rFonts w:hint="eastAsia" w:ascii="黑体" w:hAnsi="黑体" w:eastAsia="黑体"/>
          <w:sz w:val="32"/>
        </w:rPr>
      </w:pPr>
    </w:p>
    <w:p>
      <w:pPr>
        <w:jc w:val="left"/>
        <w:rPr>
          <w:rFonts w:hint="eastAsia" w:ascii="黑体" w:hAnsi="黑体" w:eastAsia="黑体"/>
          <w:sz w:val="32"/>
        </w:rPr>
      </w:pPr>
    </w:p>
    <w:p>
      <w:pPr>
        <w:jc w:val="left"/>
        <w:rPr>
          <w:rFonts w:hint="eastAsia" w:ascii="黑体" w:hAnsi="黑体" w:eastAsia="黑体"/>
          <w:sz w:val="32"/>
        </w:rPr>
      </w:pPr>
    </w:p>
    <w:p>
      <w:pPr>
        <w:jc w:val="left"/>
        <w:rPr>
          <w:rFonts w:hint="eastAsia" w:ascii="黑体" w:hAnsi="黑体" w:eastAsia="黑体"/>
          <w:sz w:val="32"/>
        </w:rPr>
      </w:pPr>
    </w:p>
    <w:p>
      <w:pPr>
        <w:jc w:val="left"/>
        <w:rPr>
          <w:rFonts w:hint="eastAsia" w:ascii="黑体" w:hAnsi="黑体" w:eastAsia="黑体"/>
          <w:sz w:val="32"/>
        </w:rPr>
      </w:pPr>
    </w:p>
    <w:p>
      <w:pPr>
        <w:jc w:val="left"/>
        <w:rPr>
          <w:rFonts w:ascii="黑体" w:hAnsi="黑体" w:eastAsia="黑体"/>
          <w:sz w:val="32"/>
        </w:rPr>
      </w:pPr>
      <w:r>
        <w:rPr>
          <w:rFonts w:hint="eastAsia" w:ascii="黑体" w:hAnsi="黑体" w:eastAsia="黑体"/>
          <w:sz w:val="32"/>
        </w:rPr>
        <w:t>附表1</w:t>
      </w:r>
    </w:p>
    <w:p>
      <w:pPr>
        <w:jc w:val="left"/>
        <w:rPr>
          <w:rFonts w:ascii="黑体" w:hAnsi="黑体" w:eastAsia="黑体"/>
          <w:sz w:val="32"/>
        </w:rPr>
      </w:pPr>
    </w:p>
    <w:p>
      <w:pPr>
        <w:spacing w:line="620" w:lineRule="exact"/>
        <w:jc w:val="center"/>
        <w:rPr>
          <w:rFonts w:ascii="文星标宋" w:hAnsi="文星标宋" w:eastAsia="文星标宋"/>
          <w:sz w:val="44"/>
          <w:szCs w:val="44"/>
        </w:rPr>
      </w:pPr>
      <w:r>
        <w:rPr>
          <w:rFonts w:hint="eastAsia" w:ascii="文星标宋" w:hAnsi="文星标宋" w:eastAsia="文星标宋"/>
          <w:sz w:val="44"/>
          <w:szCs w:val="44"/>
        </w:rPr>
        <w:t>2017年度政府信息公开工作情况统计表</w:t>
      </w:r>
    </w:p>
    <w:p>
      <w:pPr>
        <w:spacing w:line="620" w:lineRule="exact"/>
        <w:jc w:val="center"/>
        <w:rPr>
          <w:rFonts w:ascii="楷体_GB2312" w:hAnsi="宋体" w:eastAsia="楷体_GB2312"/>
          <w:sz w:val="32"/>
          <w:szCs w:val="32"/>
        </w:rPr>
      </w:pPr>
      <w:r>
        <w:rPr>
          <w:rFonts w:hint="eastAsia" w:ascii="楷体_GB2312" w:hAnsi="宋体" w:eastAsia="楷体_GB2312"/>
          <w:sz w:val="32"/>
          <w:szCs w:val="32"/>
        </w:rPr>
        <w:t>（潍坊市本级）</w:t>
      </w:r>
    </w:p>
    <w:tbl>
      <w:tblPr>
        <w:tblStyle w:val="11"/>
        <w:tblW w:w="9450" w:type="dxa"/>
        <w:jc w:val="center"/>
        <w:tblInd w:w="0"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433"/>
        <w:gridCol w:w="1002"/>
        <w:gridCol w:w="1015"/>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6"/>
              <w:spacing w:line="420" w:lineRule="atLeast"/>
              <w:ind w:firstLine="685"/>
              <w:jc w:val="center"/>
              <w:rPr>
                <w:color w:val="000000"/>
              </w:rPr>
            </w:pPr>
            <w:r>
              <w:rPr>
                <w:rStyle w:val="8"/>
                <w:rFonts w:hint="eastAsia"/>
                <w:color w:val="000000"/>
                <w:sz w:val="20"/>
                <w:szCs w:val="20"/>
              </w:rPr>
              <w:t>统　计　指　标</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Style w:val="8"/>
                <w:rFonts w:hint="eastAsia" w:ascii="宋体" w:hAnsi="宋体"/>
                <w:color w:val="000000"/>
                <w:sz w:val="20"/>
                <w:szCs w:val="20"/>
              </w:rPr>
              <w:t>单位</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Style w:val="8"/>
                <w:rFonts w:hint="eastAsia" w:ascii="宋体" w:hAnsi="宋体"/>
                <w:color w:val="000000"/>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一、主动公开情况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（一）主动公开政府信息数</w:t>
            </w:r>
            <w:r>
              <w:rPr>
                <w:rFonts w:hint="eastAsia" w:ascii="宋体" w:hAnsi="宋体"/>
                <w:color w:val="000000"/>
                <w:sz w:val="20"/>
                <w:szCs w:val="20"/>
              </w:rPr>
              <w:t>（不同渠道和方式公开相同信息计1条）</w:t>
            </w:r>
            <w:r>
              <w:rPr>
                <w:rFonts w:ascii="宋体" w:hAnsi="宋体"/>
                <w:color w:val="000000"/>
                <w:sz w:val="20"/>
                <w:szCs w:val="20"/>
              </w:rPr>
              <w:br w:type="textWrapping"/>
            </w:r>
            <w:r>
              <w:rPr>
                <w:rFonts w:ascii="宋体" w:hAnsi="宋体"/>
                <w:color w:val="000000"/>
                <w:sz w:val="20"/>
                <w:szCs w:val="20"/>
              </w:rPr>
              <w:t>　　　　（不同渠道和方式公开相同信息计1条）</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82273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其中：主动公开规范性文件数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143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制发规范性文件总数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74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（二）通过不同渠道和方式公开政府信息的情况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1.政府公报公开政府信息数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44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60867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3.政务微博公开政府信息数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17226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4.政务微信公开政府信息数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8201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10509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b/>
                <w:color w:val="000000"/>
                <w:sz w:val="24"/>
              </w:rPr>
            </w:pPr>
            <w:r>
              <w:rPr>
                <w:rFonts w:hint="eastAsia" w:ascii="宋体" w:hAnsi="宋体"/>
                <w:b/>
                <w:color w:val="000000"/>
                <w:sz w:val="20"/>
                <w:szCs w:val="20"/>
              </w:rPr>
              <w:t>二、回应解读情况（不同方式回应同一热点或舆情计1次）</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6"/>
              <w:spacing w:line="420" w:lineRule="atLeast"/>
              <w:ind w:firstLine="685"/>
              <w:jc w:val="center"/>
              <w:rPr>
                <w:color w:val="000000"/>
              </w:rPr>
            </w:pPr>
          </w:p>
        </w:tc>
        <w:tc>
          <w:tcPr>
            <w:tcW w:w="1015" w:type="dxa"/>
            <w:tcBorders>
              <w:top w:val="single" w:color="auto" w:sz="0" w:space="0"/>
              <w:left w:val="single" w:color="auto" w:sz="0" w:space="0"/>
              <w:bottom w:val="single" w:color="auto" w:sz="0" w:space="0"/>
            </w:tcBorders>
            <w:shd w:val="clear" w:color="auto" w:fill="FFFFFF"/>
            <w:vAlign w:val="center"/>
          </w:tcPr>
          <w:p>
            <w:pPr>
              <w:jc w:val="center"/>
              <w:rPr>
                <w:rFonts w:ascii="宋体" w:hAnsi="宋体"/>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6"/>
              <w:spacing w:line="420" w:lineRule="atLeast"/>
              <w:ind w:firstLine="400" w:firstLineChars="200"/>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type="textWrapping"/>
            </w:r>
            <w:r>
              <w:rPr>
                <w:rFonts w:cs="Times New Roman"/>
                <w:color w:val="000000"/>
                <w:kern w:val="2"/>
                <w:sz w:val="20"/>
                <w:szCs w:val="20"/>
              </w:rPr>
              <w:t>　　　　 （不同方式回应同一热点或舆情计1次）</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3875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（二）通过不同渠道和方式回应解读的情况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1.参加或举办新闻发布会总次数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57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其中：主要负责同志参加新闻发布会次数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16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63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22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3.政策解读稿件发布数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篇</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272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4.微博微信回应事件数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62025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5979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三、依申请公开情况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6"/>
              <w:spacing w:line="420" w:lineRule="atLeast"/>
              <w:ind w:firstLine="685"/>
              <w:jc w:val="center"/>
              <w:rPr>
                <w:color w:val="000000"/>
              </w:rPr>
            </w:pPr>
          </w:p>
        </w:tc>
        <w:tc>
          <w:tcPr>
            <w:tcW w:w="1015" w:type="dxa"/>
            <w:tcBorders>
              <w:top w:val="single" w:color="auto" w:sz="0" w:space="0"/>
              <w:left w:val="single" w:color="auto" w:sz="0" w:space="0"/>
              <w:bottom w:val="single" w:color="auto" w:sz="0" w:space="0"/>
            </w:tcBorders>
            <w:shd w:val="clear" w:color="auto" w:fill="FFFFFF"/>
            <w:vAlign w:val="center"/>
          </w:tcPr>
          <w:p>
            <w:pPr>
              <w:jc w:val="center"/>
              <w:rPr>
                <w:rFonts w:ascii="宋体" w:hAnsi="宋体"/>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（一）收到申请数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721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1.当面申请数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118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2.传真申请数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3.网络申请数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344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4.信函申请数</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259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outset" w:color="000000" w:sz="6"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color w:val="000000"/>
                <w:sz w:val="20"/>
                <w:szCs w:val="20"/>
              </w:rPr>
              <w:t xml:space="preserve">          5.其他形式</w:t>
            </w:r>
          </w:p>
        </w:tc>
        <w:tc>
          <w:tcPr>
            <w:tcW w:w="1002"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101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（二）申请办结数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721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22"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1.按时办结数</w:t>
            </w:r>
          </w:p>
          <w:p>
            <w:pPr>
              <w:spacing w:line="420" w:lineRule="atLeast"/>
              <w:rPr>
                <w:rFonts w:ascii="宋体" w:hAnsi="宋体" w:cs="宋体"/>
                <w:color w:val="000000"/>
                <w:sz w:val="24"/>
              </w:rPr>
            </w:pP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712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2.延期办结数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625"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（三）申请答复数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721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1.属于已主动公开范围数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172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337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3.同意部分公开答复数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4.不同意公开答复数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27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其中：涉及国家秘密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涉及商业秘密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涉及个人隐私</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危及国家安全、公共安全、经济安全和社会稳定</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不是《条例》所指政府信息</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法律法规规定的其他情形</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5.不属于本行政机关公开数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72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6.申请信息不存在数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62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7.告知作出更改补充数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8.告知通过其他途径办理数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四、行政复议数量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五、行政诉讼数量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（一）维持具体行政行为或者驳回原告诉讼请求数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六、被举报投诉数量</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（一）维持具体行政行为数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（二）被纠错数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（三）其他情形数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b/>
                <w:bCs/>
                <w:color w:val="000000"/>
                <w:sz w:val="20"/>
                <w:szCs w:val="20"/>
              </w:rPr>
            </w:pPr>
            <w:r>
              <w:rPr>
                <w:rFonts w:hint="eastAsia" w:ascii="宋体" w:hAnsi="宋体"/>
                <w:b/>
                <w:bCs/>
                <w:color w:val="000000"/>
                <w:sz w:val="20"/>
                <w:szCs w:val="20"/>
              </w:rPr>
              <w:t>七、向图书馆、档案馆等查阅场所报送信息数</w:t>
            </w:r>
          </w:p>
          <w:p>
            <w:pPr>
              <w:spacing w:line="420" w:lineRule="atLeast"/>
              <w:rPr>
                <w:rFonts w:ascii="宋体" w:hAnsi="宋体"/>
                <w:color w:val="000000"/>
                <w:sz w:val="20"/>
                <w:szCs w:val="20"/>
              </w:rPr>
            </w:pP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39345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（一）</w:t>
            </w:r>
            <w:r>
              <w:rPr>
                <w:rFonts w:hint="eastAsia" w:ascii="宋体" w:hAnsi="宋体"/>
                <w:color w:val="000000"/>
                <w:sz w:val="20"/>
                <w:szCs w:val="20"/>
              </w:rPr>
              <w:t>纸质文件数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19630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（二）</w:t>
            </w:r>
            <w:r>
              <w:rPr>
                <w:rFonts w:hint="eastAsia" w:ascii="宋体" w:hAnsi="宋体"/>
                <w:color w:val="000000"/>
                <w:sz w:val="20"/>
                <w:szCs w:val="20"/>
              </w:rPr>
              <w:t>电子文件数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19715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八、开通政府信息公开网站（或设立门户网站信息公开专栏）数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宋体" w:hAnsi="宋体"/>
                <w:color w:val="000000"/>
                <w:sz w:val="20"/>
                <w:szCs w:val="20"/>
              </w:rPr>
            </w:pPr>
            <w:r>
              <w:rPr>
                <w:rFonts w:hint="eastAsia" w:ascii="宋体" w:hAnsi="宋体"/>
                <w:color w:val="000000"/>
                <w:sz w:val="20"/>
                <w:szCs w:val="20"/>
              </w:rPr>
              <w:t>84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（一）</w:t>
            </w:r>
            <w:r>
              <w:rPr>
                <w:rFonts w:hint="eastAsia" w:ascii="宋体" w:hAnsi="宋体"/>
                <w:color w:val="000000"/>
                <w:sz w:val="20"/>
                <w:szCs w:val="20"/>
              </w:rPr>
              <w:t>市政府及其部门门户网站</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84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二</w:t>
            </w:r>
            <w:r>
              <w:rPr>
                <w:rFonts w:ascii="宋体" w:hAnsi="宋体"/>
                <w:color w:val="000000"/>
                <w:sz w:val="20"/>
                <w:szCs w:val="20"/>
              </w:rPr>
              <w:t>）</w:t>
            </w:r>
            <w:r>
              <w:rPr>
                <w:rFonts w:hint="eastAsia" w:ascii="宋体" w:hAnsi="宋体"/>
                <w:color w:val="000000"/>
                <w:sz w:val="20"/>
                <w:szCs w:val="20"/>
              </w:rPr>
              <w:t>县（市、区）政府门户网站</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三</w:t>
            </w:r>
            <w:r>
              <w:rPr>
                <w:rFonts w:ascii="宋体" w:hAnsi="宋体"/>
                <w:color w:val="000000"/>
                <w:sz w:val="20"/>
                <w:szCs w:val="20"/>
              </w:rPr>
              <w:t>）</w:t>
            </w:r>
            <w:r>
              <w:rPr>
                <w:rFonts w:hint="eastAsia" w:ascii="宋体" w:hAnsi="宋体"/>
                <w:color w:val="000000"/>
                <w:sz w:val="20"/>
                <w:szCs w:val="20"/>
              </w:rPr>
              <w:t>乡镇政府（街道办事处）门户网站</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九、市政府公报发行量</w:t>
            </w:r>
          </w:p>
        </w:tc>
        <w:tc>
          <w:tcPr>
            <w:tcW w:w="1002" w:type="dxa"/>
            <w:tcBorders>
              <w:top w:val="single" w:color="auto" w:sz="4" w:space="0"/>
              <w:left w:val="outset" w:color="000000" w:sz="6" w:space="0"/>
              <w:bottom w:val="single" w:color="auto" w:sz="4" w:space="0"/>
              <w:right w:val="outset" w:color="000000" w:sz="6" w:space="0"/>
              <w:tr2bl w:val="single" w:color="auto" w:sz="4" w:space="0"/>
            </w:tcBorders>
            <w:shd w:val="clear" w:color="auto" w:fill="FFFFFF"/>
            <w:vAlign w:val="center"/>
          </w:tcPr>
          <w:p>
            <w:pPr>
              <w:spacing w:line="420" w:lineRule="atLeast"/>
              <w:jc w:val="center"/>
              <w:rPr>
                <w:rFonts w:ascii="黑体" w:hAnsi="宋体" w:eastAsia="黑体"/>
                <w:color w:val="000000"/>
                <w:sz w:val="20"/>
                <w:szCs w:val="20"/>
              </w:rPr>
            </w:pP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1000" w:firstLineChars="500"/>
              <w:jc w:val="center"/>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（一）</w:t>
            </w:r>
            <w:r>
              <w:rPr>
                <w:rFonts w:hint="eastAsia" w:ascii="宋体" w:hAnsi="宋体"/>
                <w:color w:val="000000"/>
                <w:sz w:val="20"/>
                <w:szCs w:val="20"/>
              </w:rPr>
              <w:t>公报发行期数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宋体" w:hAnsi="宋体"/>
                <w:color w:val="000000"/>
                <w:sz w:val="20"/>
                <w:szCs w:val="20"/>
              </w:rPr>
              <w:t>4</w:t>
            </w:r>
            <w:r>
              <w:rPr>
                <w:rFonts w:hint="eastAsia" w:ascii="黑体" w:hAnsi="宋体" w:eastAsia="黑体"/>
                <w:color w:val="000000"/>
                <w:sz w:val="20"/>
                <w:szCs w:val="20"/>
              </w:rPr>
              <w:t>期</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1000" w:firstLineChars="500"/>
              <w:jc w:val="center"/>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707"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hint="eastAsia" w:ascii="宋体" w:hAnsi="宋体"/>
                <w:color w:val="000000"/>
                <w:sz w:val="20"/>
                <w:szCs w:val="20"/>
              </w:rPr>
              <w:t>（二）公报发行总份数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宋体" w:hAnsi="宋体"/>
                <w:color w:val="000000"/>
                <w:sz w:val="20"/>
                <w:szCs w:val="20"/>
              </w:rPr>
              <w:t>44000</w:t>
            </w:r>
            <w:r>
              <w:rPr>
                <w:rFonts w:hint="eastAsia" w:ascii="黑体" w:hAnsi="宋体" w:eastAsia="黑体"/>
                <w:color w:val="000000"/>
                <w:sz w:val="20"/>
                <w:szCs w:val="20"/>
              </w:rPr>
              <w:t>份</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1000" w:firstLineChars="500"/>
              <w:jc w:val="center"/>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十、设置政府信息查阅点数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宋体" w:hAnsi="宋体"/>
                <w:color w:val="000000"/>
                <w:sz w:val="20"/>
                <w:szCs w:val="20"/>
              </w:rPr>
            </w:pPr>
            <w:r>
              <w:rPr>
                <w:rFonts w:hint="eastAsia" w:ascii="宋体" w:hAnsi="宋体"/>
                <w:color w:val="000000"/>
                <w:sz w:val="20"/>
                <w:szCs w:val="20"/>
              </w:rPr>
              <w:t>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（一）</w:t>
            </w:r>
            <w:r>
              <w:rPr>
                <w:rFonts w:hint="eastAsia" w:ascii="宋体" w:hAnsi="宋体"/>
                <w:color w:val="000000"/>
                <w:sz w:val="20"/>
                <w:szCs w:val="20"/>
              </w:rPr>
              <w:t>市政府及其部门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二</w:t>
            </w:r>
            <w:r>
              <w:rPr>
                <w:rFonts w:ascii="宋体" w:hAnsi="宋体"/>
                <w:color w:val="000000"/>
                <w:sz w:val="20"/>
                <w:szCs w:val="20"/>
              </w:rPr>
              <w:t>）</w:t>
            </w:r>
            <w:r>
              <w:rPr>
                <w:rFonts w:hint="eastAsia" w:ascii="宋体" w:hAnsi="宋体"/>
                <w:color w:val="000000"/>
                <w:sz w:val="20"/>
                <w:szCs w:val="20"/>
              </w:rPr>
              <w:t>县（市、区）政府及其部门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三</w:t>
            </w:r>
            <w:r>
              <w:rPr>
                <w:rFonts w:ascii="宋体" w:hAnsi="宋体"/>
                <w:color w:val="000000"/>
                <w:sz w:val="20"/>
                <w:szCs w:val="20"/>
              </w:rPr>
              <w:t>）</w:t>
            </w:r>
            <w:r>
              <w:rPr>
                <w:rFonts w:hint="eastAsia" w:ascii="宋体" w:hAnsi="宋体"/>
                <w:color w:val="000000"/>
                <w:sz w:val="20"/>
                <w:szCs w:val="20"/>
              </w:rPr>
              <w:t>乡镇政府（街道办事处）</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十一、查阅点接待人数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宋体" w:hAnsi="宋体"/>
                <w:color w:val="000000"/>
                <w:sz w:val="20"/>
                <w:szCs w:val="20"/>
              </w:rPr>
            </w:pPr>
            <w:r>
              <w:rPr>
                <w:rFonts w:hint="eastAsia" w:ascii="宋体" w:hAnsi="宋体"/>
                <w:color w:val="000000"/>
                <w:sz w:val="20"/>
                <w:szCs w:val="20"/>
              </w:rPr>
              <w:t>57552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（一）</w:t>
            </w:r>
            <w:r>
              <w:rPr>
                <w:rFonts w:hint="eastAsia" w:ascii="宋体" w:hAnsi="宋体"/>
                <w:color w:val="000000"/>
                <w:sz w:val="20"/>
                <w:szCs w:val="20"/>
              </w:rPr>
              <w:t>市政府及其部门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宋体" w:hAnsi="宋体"/>
                <w:color w:val="000000"/>
                <w:sz w:val="20"/>
                <w:szCs w:val="20"/>
              </w:rPr>
            </w:pPr>
            <w:r>
              <w:rPr>
                <w:rFonts w:hint="eastAsia" w:ascii="宋体" w:hAnsi="宋体"/>
                <w:color w:val="000000"/>
                <w:sz w:val="20"/>
                <w:szCs w:val="20"/>
              </w:rPr>
              <w:t>57552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二</w:t>
            </w:r>
            <w:r>
              <w:rPr>
                <w:rFonts w:ascii="宋体" w:hAnsi="宋体"/>
                <w:color w:val="000000"/>
                <w:sz w:val="20"/>
                <w:szCs w:val="20"/>
              </w:rPr>
              <w:t>）</w:t>
            </w:r>
            <w:r>
              <w:rPr>
                <w:rFonts w:hint="eastAsia" w:ascii="宋体" w:hAnsi="宋体"/>
                <w:color w:val="000000"/>
                <w:sz w:val="20"/>
                <w:szCs w:val="20"/>
              </w:rPr>
              <w:t>县（市、区）政府及其部门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三</w:t>
            </w:r>
            <w:r>
              <w:rPr>
                <w:rFonts w:ascii="宋体" w:hAnsi="宋体"/>
                <w:color w:val="000000"/>
                <w:sz w:val="20"/>
                <w:szCs w:val="20"/>
              </w:rPr>
              <w:t>）</w:t>
            </w:r>
            <w:r>
              <w:rPr>
                <w:rFonts w:hint="eastAsia" w:ascii="宋体" w:hAnsi="宋体"/>
                <w:color w:val="000000"/>
                <w:sz w:val="20"/>
                <w:szCs w:val="20"/>
              </w:rPr>
              <w:t>乡镇政府（街道办事处）</w:t>
            </w:r>
          </w:p>
        </w:tc>
        <w:tc>
          <w:tcPr>
            <w:tcW w:w="1002" w:type="dxa"/>
            <w:tcBorders>
              <w:top w:val="single" w:color="auto" w:sz="4" w:space="0"/>
              <w:left w:val="outset" w:color="000000" w:sz="6"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right w:val="outset" w:color="000000" w:sz="6" w:space="0"/>
            </w:tcBorders>
            <w:shd w:val="clear" w:color="auto" w:fill="FFFFFF"/>
            <w:vAlign w:val="center"/>
          </w:tcPr>
          <w:p>
            <w:pPr>
              <w:widowControl/>
              <w:spacing w:line="420" w:lineRule="atLeast"/>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十二、机构建设和保障经费情况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（一）政府信息公开工作专门机构数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45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（二）设置政府信息公开查阅点数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46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（三）从事政府信息公开工作人员数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194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1.专职人员数（不包括政府公报及政府网站工作人员数）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28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2.兼职人员数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166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（四）政府信息公开专项经费（不包括用于政府公报编辑管理及政府网站建设维</w:t>
            </w:r>
            <w:r>
              <w:rPr>
                <w:rFonts w:ascii="宋体" w:hAnsi="宋体"/>
                <w:color w:val="000000"/>
                <w:sz w:val="20"/>
                <w:szCs w:val="20"/>
              </w:rPr>
              <w:br w:type="textWrapping"/>
            </w:r>
            <w:r>
              <w:rPr>
                <w:rFonts w:ascii="宋体" w:hAnsi="宋体"/>
                <w:color w:val="000000"/>
                <w:sz w:val="20"/>
                <w:szCs w:val="20"/>
              </w:rPr>
              <w:t>　　　　　护等方面的经费）</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万元</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65.5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十三、政府信息公开会议和培训情况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（一）召开政府信息公开工作会议或专题会议数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111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（二）举办各类培训班数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91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（三）接受培训人员数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5254</w:t>
            </w:r>
          </w:p>
        </w:tc>
      </w:tr>
    </w:tbl>
    <w:p>
      <w:pPr>
        <w:rPr>
          <w:rFonts w:ascii="宋体" w:hAnsi="宋体"/>
          <w:color w:val="000000"/>
          <w:sz w:val="20"/>
          <w:szCs w:val="20"/>
        </w:rPr>
      </w:pPr>
      <w:r>
        <w:rPr>
          <w:rFonts w:hint="eastAsia" w:ascii="宋体" w:hAnsi="宋体"/>
          <w:color w:val="000000"/>
          <w:sz w:val="20"/>
          <w:szCs w:val="20"/>
        </w:rPr>
        <w:t>（注：各子栏目数总数要等于总栏目数量）</w:t>
      </w:r>
    </w:p>
    <w:p>
      <w:pPr>
        <w:rPr>
          <w:rFonts w:ascii="宋体" w:hAnsi="宋体"/>
          <w:b/>
        </w:rPr>
      </w:pPr>
    </w:p>
    <w:p>
      <w:pPr>
        <w:rPr>
          <w:rFonts w:ascii="宋体" w:hAnsi="宋体"/>
          <w:b/>
        </w:rPr>
      </w:pPr>
    </w:p>
    <w:p>
      <w:pPr>
        <w:widowControl/>
        <w:spacing w:line="620" w:lineRule="exact"/>
        <w:ind w:right="640" w:firstLine="160" w:firstLineChars="50"/>
        <w:jc w:val="left"/>
        <w:rPr>
          <w:rFonts w:ascii="仿宋_GB2312" w:eastAsia="仿宋_GB2312" w:cs="微软雅黑"/>
          <w:kern w:val="0"/>
          <w:sz w:val="32"/>
          <w:szCs w:val="32"/>
          <w:lang w:val="zh-CN"/>
        </w:rPr>
      </w:pPr>
    </w:p>
    <w:p>
      <w:pPr>
        <w:widowControl/>
        <w:spacing w:line="620" w:lineRule="exact"/>
        <w:ind w:right="640" w:firstLine="160" w:firstLineChars="50"/>
        <w:jc w:val="left"/>
        <w:rPr>
          <w:rFonts w:ascii="仿宋_GB2312" w:eastAsia="仿宋_GB2312" w:cs="微软雅黑"/>
          <w:kern w:val="0"/>
          <w:sz w:val="32"/>
          <w:szCs w:val="32"/>
          <w:lang w:val="zh-CN"/>
        </w:rPr>
      </w:pPr>
    </w:p>
    <w:p>
      <w:pPr>
        <w:widowControl/>
        <w:spacing w:line="620" w:lineRule="exact"/>
        <w:ind w:right="640" w:firstLine="160" w:firstLineChars="50"/>
        <w:jc w:val="left"/>
        <w:rPr>
          <w:rFonts w:ascii="仿宋_GB2312" w:eastAsia="仿宋_GB2312" w:cs="微软雅黑"/>
          <w:kern w:val="0"/>
          <w:sz w:val="32"/>
          <w:szCs w:val="32"/>
          <w:lang w:val="zh-CN"/>
        </w:rPr>
      </w:pPr>
    </w:p>
    <w:p>
      <w:pPr>
        <w:widowControl/>
        <w:spacing w:line="620" w:lineRule="exact"/>
        <w:ind w:right="640"/>
        <w:jc w:val="left"/>
        <w:rPr>
          <w:rFonts w:ascii="仿宋_GB2312" w:eastAsia="仿宋_GB2312" w:cs="微软雅黑"/>
          <w:kern w:val="0"/>
          <w:sz w:val="32"/>
          <w:szCs w:val="32"/>
          <w:lang w:val="zh-CN"/>
        </w:rPr>
      </w:pPr>
    </w:p>
    <w:p>
      <w:pPr>
        <w:widowControl/>
        <w:spacing w:line="620" w:lineRule="exact"/>
        <w:ind w:right="640"/>
        <w:jc w:val="left"/>
        <w:rPr>
          <w:rFonts w:ascii="黑体" w:hAnsi="黑体" w:eastAsia="黑体" w:cs="微软雅黑"/>
          <w:kern w:val="0"/>
          <w:sz w:val="32"/>
          <w:szCs w:val="32"/>
          <w:lang w:val="zh-CN"/>
        </w:rPr>
      </w:pPr>
      <w:r>
        <w:rPr>
          <w:rFonts w:hint="eastAsia" w:ascii="黑体" w:hAnsi="黑体" w:eastAsia="黑体" w:cs="微软雅黑"/>
          <w:kern w:val="0"/>
          <w:sz w:val="32"/>
          <w:szCs w:val="32"/>
          <w:lang w:val="zh-CN"/>
        </w:rPr>
        <w:t>附表2</w:t>
      </w:r>
    </w:p>
    <w:p>
      <w:pPr>
        <w:widowControl/>
        <w:spacing w:line="620" w:lineRule="exact"/>
        <w:ind w:right="640"/>
        <w:jc w:val="left"/>
        <w:rPr>
          <w:rFonts w:ascii="黑体" w:hAnsi="黑体" w:eastAsia="黑体" w:cs="微软雅黑"/>
          <w:kern w:val="0"/>
          <w:sz w:val="32"/>
          <w:szCs w:val="32"/>
          <w:lang w:val="zh-CN"/>
        </w:rPr>
      </w:pPr>
    </w:p>
    <w:p>
      <w:pPr>
        <w:jc w:val="center"/>
        <w:rPr>
          <w:rFonts w:ascii="文星标宋" w:hAnsi="文星标宋" w:eastAsia="文星标宋"/>
          <w:sz w:val="44"/>
          <w:szCs w:val="44"/>
        </w:rPr>
      </w:pPr>
      <w:r>
        <w:rPr>
          <w:rFonts w:hint="eastAsia" w:ascii="文星标宋" w:hAnsi="文星标宋" w:eastAsia="文星标宋"/>
          <w:sz w:val="44"/>
          <w:szCs w:val="44"/>
        </w:rPr>
        <w:t>2017年度政府信息公开工作情况统计表</w:t>
      </w:r>
    </w:p>
    <w:p>
      <w:pPr>
        <w:jc w:val="center"/>
        <w:rPr>
          <w:rFonts w:ascii="楷体_GB2312" w:hAnsi="宋体" w:eastAsia="楷体_GB2312"/>
          <w:sz w:val="32"/>
          <w:szCs w:val="32"/>
        </w:rPr>
      </w:pPr>
      <w:r>
        <w:rPr>
          <w:rFonts w:hint="eastAsia" w:ascii="楷体_GB2312" w:hAnsi="宋体" w:eastAsia="楷体_GB2312"/>
          <w:sz w:val="32"/>
          <w:szCs w:val="32"/>
        </w:rPr>
        <w:t>（潍坊市本行政区域）</w:t>
      </w:r>
    </w:p>
    <w:tbl>
      <w:tblPr>
        <w:tblStyle w:val="11"/>
        <w:tblW w:w="9450" w:type="dxa"/>
        <w:jc w:val="center"/>
        <w:tblInd w:w="0"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433"/>
        <w:gridCol w:w="1002"/>
        <w:gridCol w:w="1015"/>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6"/>
              <w:spacing w:line="420" w:lineRule="atLeast"/>
              <w:ind w:firstLine="685"/>
              <w:jc w:val="center"/>
              <w:rPr>
                <w:color w:val="000000"/>
              </w:rPr>
            </w:pPr>
            <w:r>
              <w:rPr>
                <w:rStyle w:val="8"/>
                <w:rFonts w:hint="eastAsia"/>
                <w:color w:val="000000"/>
                <w:sz w:val="20"/>
                <w:szCs w:val="20"/>
              </w:rPr>
              <w:t>统　计　指　标</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Style w:val="8"/>
                <w:rFonts w:hint="eastAsia" w:ascii="宋体" w:hAnsi="宋体"/>
                <w:color w:val="000000"/>
                <w:sz w:val="20"/>
                <w:szCs w:val="20"/>
              </w:rPr>
              <w:t>单位</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Style w:val="8"/>
                <w:rFonts w:hint="eastAsia" w:ascii="宋体" w:hAnsi="宋体"/>
                <w:color w:val="000000"/>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一、主动公开情况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（一）主动公开政府信息数</w:t>
            </w:r>
            <w:r>
              <w:rPr>
                <w:rFonts w:hint="eastAsia" w:ascii="宋体" w:hAnsi="宋体"/>
                <w:color w:val="000000"/>
                <w:sz w:val="20"/>
                <w:szCs w:val="20"/>
              </w:rPr>
              <w:t>（不同渠道和方式公开相同信息计1条）</w:t>
            </w:r>
            <w:r>
              <w:rPr>
                <w:rFonts w:ascii="宋体" w:hAnsi="宋体"/>
                <w:color w:val="000000"/>
                <w:sz w:val="20"/>
                <w:szCs w:val="20"/>
              </w:rPr>
              <w:br w:type="textWrapping"/>
            </w:r>
            <w:r>
              <w:rPr>
                <w:rFonts w:ascii="宋体" w:hAnsi="宋体"/>
                <w:color w:val="000000"/>
                <w:sz w:val="20"/>
                <w:szCs w:val="20"/>
              </w:rPr>
              <w:t>　　　　（不同渠道和方式公开相同信息计1条）</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255332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其中：主动公开规范性文件数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209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制发规范性文件总数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140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（二）通过不同渠道和方式公开政府信息的情况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1.政府公报公开政府信息数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559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175689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3.政务微博公开政府信息数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31394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4.政务微信公开政府信息数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29218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39561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b/>
                <w:color w:val="000000"/>
                <w:sz w:val="24"/>
              </w:rPr>
            </w:pPr>
            <w:r>
              <w:rPr>
                <w:rFonts w:hint="eastAsia" w:ascii="宋体" w:hAnsi="宋体"/>
                <w:b/>
                <w:color w:val="000000"/>
                <w:sz w:val="20"/>
                <w:szCs w:val="20"/>
              </w:rPr>
              <w:t>二、回应解读情况（不同方式回应同一热点或舆情计1次）</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6"/>
              <w:spacing w:line="420" w:lineRule="atLeast"/>
              <w:ind w:firstLine="685"/>
              <w:jc w:val="center"/>
              <w:rPr>
                <w:color w:val="000000"/>
              </w:rPr>
            </w:pPr>
          </w:p>
        </w:tc>
        <w:tc>
          <w:tcPr>
            <w:tcW w:w="1015" w:type="dxa"/>
            <w:tcBorders>
              <w:top w:val="single" w:color="auto" w:sz="0" w:space="0"/>
              <w:left w:val="single" w:color="auto" w:sz="0" w:space="0"/>
              <w:bottom w:val="single" w:color="auto" w:sz="0" w:space="0"/>
            </w:tcBorders>
            <w:shd w:val="clear" w:color="auto" w:fill="FFFFFF"/>
            <w:vAlign w:val="center"/>
          </w:tcPr>
          <w:p>
            <w:pPr>
              <w:jc w:val="center"/>
              <w:rPr>
                <w:rFonts w:ascii="宋体" w:hAnsi="宋体"/>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6"/>
              <w:spacing w:line="420" w:lineRule="atLeast"/>
              <w:ind w:firstLine="400" w:firstLineChars="200"/>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type="textWrapping"/>
            </w:r>
            <w:r>
              <w:rPr>
                <w:rFonts w:cs="Times New Roman"/>
                <w:color w:val="000000"/>
                <w:kern w:val="2"/>
                <w:sz w:val="20"/>
                <w:szCs w:val="20"/>
              </w:rPr>
              <w:t>　　　　 （不同方式回应同一热点或舆情计1次）</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22715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（二）通过不同渠道和方式回应解读的情况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1.参加或举办新闻发布会总次数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187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其中：主要负责同志参加新闻发布会次数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66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761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251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3.政策解读稿件发布数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篇</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1358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4.微博微信回应事件数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66412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8333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三、依申请公开情况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6"/>
              <w:spacing w:line="420" w:lineRule="atLeast"/>
              <w:ind w:firstLine="685"/>
              <w:jc w:val="center"/>
              <w:rPr>
                <w:color w:val="000000"/>
              </w:rPr>
            </w:pPr>
          </w:p>
        </w:tc>
        <w:tc>
          <w:tcPr>
            <w:tcW w:w="1015" w:type="dxa"/>
            <w:tcBorders>
              <w:top w:val="single" w:color="auto" w:sz="0" w:space="0"/>
              <w:left w:val="single" w:color="auto" w:sz="0" w:space="0"/>
              <w:bottom w:val="single" w:color="auto" w:sz="0" w:space="0"/>
            </w:tcBorders>
            <w:shd w:val="clear" w:color="auto" w:fill="FFFFFF"/>
            <w:vAlign w:val="center"/>
          </w:tcPr>
          <w:p>
            <w:pPr>
              <w:jc w:val="center"/>
              <w:rPr>
                <w:rFonts w:ascii="宋体" w:hAnsi="宋体"/>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（一）收到申请数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1525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1.当面申请数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194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2.传真申请数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12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3.网络申请数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751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4.信函申请数</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olor w:val="000000"/>
                <w:sz w:val="20"/>
                <w:szCs w:val="20"/>
              </w:rPr>
              <w:t>568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outset" w:color="000000" w:sz="6"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color w:val="000000"/>
                <w:sz w:val="20"/>
                <w:szCs w:val="20"/>
              </w:rPr>
              <w:t xml:space="preserve">          5.其他形式</w:t>
            </w:r>
          </w:p>
        </w:tc>
        <w:tc>
          <w:tcPr>
            <w:tcW w:w="1002"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101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（二）申请办结数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1525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22"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1.按时办结数</w:t>
            </w:r>
          </w:p>
          <w:p>
            <w:pPr>
              <w:spacing w:line="420" w:lineRule="atLeast"/>
              <w:rPr>
                <w:rFonts w:ascii="宋体" w:hAnsi="宋体" w:cs="宋体"/>
                <w:color w:val="000000"/>
                <w:sz w:val="24"/>
              </w:rPr>
            </w:pP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1514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2.延期办结数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625"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（三）申请答复数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1525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1.属于已主动公开范围数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308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734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3.同意部分公开答复数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4.不同意公开答复数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48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其中：涉及国家秘密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涉及商业秘密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涉及个人隐私</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危及国家安全、公共安全、经济安全和社会稳定</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不是《条例》所指政府信息</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28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法律法规规定的其他情形</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5.不属于本行政机关公开数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179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6.申请信息不存在数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147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7.告知作出更改补充数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39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8.告知通过其他途径办理数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四、行政复议数量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177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83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45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49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五、行政诉讼数量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224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（一）维持具体行政行为或者驳回原告诉讼请求数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136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53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六、被举报投诉数量</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（一）维持具体行政行为数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（二）被纠错数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（三）其他情形数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件</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b/>
                <w:bCs/>
                <w:color w:val="000000"/>
                <w:sz w:val="20"/>
                <w:szCs w:val="20"/>
              </w:rPr>
            </w:pPr>
            <w:r>
              <w:rPr>
                <w:rFonts w:hint="eastAsia" w:ascii="宋体" w:hAnsi="宋体"/>
                <w:b/>
                <w:bCs/>
                <w:color w:val="000000"/>
                <w:sz w:val="20"/>
                <w:szCs w:val="20"/>
              </w:rPr>
              <w:t>七、向图书馆、档案馆等查阅场所报送信息数</w:t>
            </w:r>
          </w:p>
          <w:p>
            <w:pPr>
              <w:spacing w:line="420" w:lineRule="atLeast"/>
              <w:rPr>
                <w:rFonts w:ascii="宋体" w:hAnsi="宋体"/>
                <w:color w:val="000000"/>
                <w:sz w:val="20"/>
                <w:szCs w:val="20"/>
              </w:rPr>
            </w:pP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67525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（一）</w:t>
            </w:r>
            <w:r>
              <w:rPr>
                <w:rFonts w:hint="eastAsia" w:ascii="宋体" w:hAnsi="宋体"/>
                <w:color w:val="000000"/>
                <w:sz w:val="20"/>
                <w:szCs w:val="20"/>
              </w:rPr>
              <w:t>纸质文件数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24854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（二）</w:t>
            </w:r>
            <w:r>
              <w:rPr>
                <w:rFonts w:hint="eastAsia" w:ascii="宋体" w:hAnsi="宋体"/>
                <w:color w:val="000000"/>
                <w:sz w:val="20"/>
                <w:szCs w:val="20"/>
              </w:rPr>
              <w:t>电子文件数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42671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八、开通政府信息公开网站（或设立门户网站信息公开专栏）数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宋体" w:hAnsi="宋体"/>
                <w:color w:val="000000"/>
                <w:sz w:val="20"/>
                <w:szCs w:val="20"/>
              </w:rPr>
            </w:pPr>
            <w:r>
              <w:rPr>
                <w:rFonts w:hint="eastAsia" w:ascii="宋体" w:hAnsi="宋体"/>
                <w:color w:val="000000"/>
                <w:sz w:val="20"/>
                <w:szCs w:val="20"/>
              </w:rPr>
              <w:t>109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ascii="宋体" w:hAnsi="宋体"/>
                <w:color w:val="000000"/>
                <w:sz w:val="20"/>
                <w:szCs w:val="20"/>
              </w:rPr>
              <w:t>　　（一）</w:t>
            </w:r>
            <w:r>
              <w:rPr>
                <w:rFonts w:hint="eastAsia" w:ascii="宋体" w:hAnsi="宋体"/>
                <w:color w:val="000000"/>
                <w:sz w:val="20"/>
                <w:szCs w:val="20"/>
              </w:rPr>
              <w:t>市政府及其部门门户网站</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84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二</w:t>
            </w:r>
            <w:r>
              <w:rPr>
                <w:rFonts w:ascii="宋体" w:hAnsi="宋体"/>
                <w:color w:val="000000"/>
                <w:sz w:val="20"/>
                <w:szCs w:val="20"/>
              </w:rPr>
              <w:t>）</w:t>
            </w:r>
            <w:r>
              <w:rPr>
                <w:rFonts w:hint="eastAsia" w:ascii="宋体" w:hAnsi="宋体"/>
                <w:color w:val="000000"/>
                <w:sz w:val="20"/>
                <w:szCs w:val="20"/>
              </w:rPr>
              <w:t>县（市、区）政府门户网站</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15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三</w:t>
            </w:r>
            <w:r>
              <w:rPr>
                <w:rFonts w:ascii="宋体" w:hAnsi="宋体"/>
                <w:color w:val="000000"/>
                <w:sz w:val="20"/>
                <w:szCs w:val="20"/>
              </w:rPr>
              <w:t>）</w:t>
            </w:r>
            <w:r>
              <w:rPr>
                <w:rFonts w:hint="eastAsia" w:ascii="宋体" w:hAnsi="宋体"/>
                <w:color w:val="000000"/>
                <w:sz w:val="20"/>
                <w:szCs w:val="20"/>
              </w:rPr>
              <w:t>乡镇政府（街道办事处）门户网站</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578"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九、市政府公报发行量</w:t>
            </w:r>
          </w:p>
        </w:tc>
        <w:tc>
          <w:tcPr>
            <w:tcW w:w="1002" w:type="dxa"/>
            <w:tcBorders>
              <w:top w:val="single" w:color="auto" w:sz="4" w:space="0"/>
              <w:left w:val="outset" w:color="000000" w:sz="6" w:space="0"/>
              <w:bottom w:val="single" w:color="auto" w:sz="4" w:space="0"/>
              <w:right w:val="outset" w:color="000000" w:sz="6" w:space="0"/>
              <w:tr2bl w:val="single" w:color="auto" w:sz="4" w:space="0"/>
            </w:tcBorders>
            <w:shd w:val="clear" w:color="auto" w:fill="FFFFFF"/>
            <w:vAlign w:val="center"/>
          </w:tcPr>
          <w:p>
            <w:pPr>
              <w:spacing w:line="420" w:lineRule="atLeast"/>
              <w:jc w:val="center"/>
              <w:rPr>
                <w:rFonts w:ascii="黑体" w:hAnsi="宋体" w:eastAsia="黑体"/>
                <w:color w:val="000000"/>
                <w:sz w:val="20"/>
                <w:szCs w:val="20"/>
              </w:rPr>
            </w:pP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1000" w:firstLineChars="500"/>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557"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（一）</w:t>
            </w:r>
            <w:r>
              <w:rPr>
                <w:rFonts w:hint="eastAsia" w:ascii="宋体" w:hAnsi="宋体"/>
                <w:color w:val="000000"/>
                <w:sz w:val="20"/>
                <w:szCs w:val="20"/>
              </w:rPr>
              <w:t>公报发行期数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宋体" w:hAnsi="宋体"/>
                <w:color w:val="000000"/>
                <w:sz w:val="20"/>
                <w:szCs w:val="20"/>
              </w:rPr>
              <w:t>58</w:t>
            </w:r>
            <w:r>
              <w:rPr>
                <w:rFonts w:hint="eastAsia" w:ascii="黑体" w:hAnsi="宋体" w:eastAsia="黑体"/>
                <w:color w:val="000000"/>
                <w:sz w:val="20"/>
                <w:szCs w:val="20"/>
              </w:rPr>
              <w:t>期</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1000" w:firstLineChars="500"/>
              <w:jc w:val="center"/>
              <w:rPr>
                <w:rFonts w:ascii="宋体" w:hAnsi="宋体"/>
                <w:color w:val="000000"/>
                <w:sz w:val="20"/>
                <w:szCs w:val="20"/>
              </w:rPr>
            </w:pPr>
            <w:r>
              <w:rPr>
                <w:rFonts w:hint="eastAsia" w:ascii="宋体" w:hAnsi="宋体"/>
                <w:color w:val="000000"/>
                <w:sz w:val="20"/>
                <w:szCs w:val="20"/>
              </w:rPr>
              <w:t>5454545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565"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hint="eastAsia" w:ascii="宋体" w:hAnsi="宋体"/>
                <w:color w:val="000000"/>
                <w:sz w:val="20"/>
                <w:szCs w:val="20"/>
              </w:rPr>
              <w:t>（二）公报发行总份数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宋体" w:hAnsi="宋体"/>
                <w:color w:val="000000"/>
                <w:sz w:val="20"/>
                <w:szCs w:val="20"/>
              </w:rPr>
              <w:t>65841</w:t>
            </w:r>
            <w:r>
              <w:rPr>
                <w:rFonts w:hint="eastAsia" w:ascii="黑体" w:hAnsi="宋体" w:eastAsia="黑体"/>
                <w:color w:val="000000"/>
                <w:sz w:val="20"/>
                <w:szCs w:val="20"/>
              </w:rPr>
              <w:t>份</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1000" w:firstLineChars="500"/>
              <w:jc w:val="center"/>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十、设置政府信息查阅点数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宋体" w:hAnsi="宋体"/>
                <w:color w:val="000000"/>
                <w:sz w:val="20"/>
                <w:szCs w:val="20"/>
              </w:rPr>
            </w:pPr>
            <w:r>
              <w:rPr>
                <w:rFonts w:hint="eastAsia" w:ascii="宋体" w:hAnsi="宋体"/>
                <w:color w:val="000000"/>
                <w:sz w:val="20"/>
                <w:szCs w:val="20"/>
              </w:rPr>
              <w:t>569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（一）</w:t>
            </w:r>
            <w:r>
              <w:rPr>
                <w:rFonts w:hint="eastAsia" w:ascii="宋体" w:hAnsi="宋体"/>
                <w:color w:val="000000"/>
                <w:sz w:val="20"/>
                <w:szCs w:val="20"/>
              </w:rPr>
              <w:t>市政府及其部门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二</w:t>
            </w:r>
            <w:r>
              <w:rPr>
                <w:rFonts w:ascii="宋体" w:hAnsi="宋体"/>
                <w:color w:val="000000"/>
                <w:sz w:val="20"/>
                <w:szCs w:val="20"/>
              </w:rPr>
              <w:t>）</w:t>
            </w:r>
            <w:r>
              <w:rPr>
                <w:rFonts w:hint="eastAsia" w:ascii="宋体" w:hAnsi="宋体"/>
                <w:color w:val="000000"/>
                <w:sz w:val="20"/>
                <w:szCs w:val="20"/>
              </w:rPr>
              <w:t>县（市、区）政府及其部门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363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三</w:t>
            </w:r>
            <w:r>
              <w:rPr>
                <w:rFonts w:ascii="宋体" w:hAnsi="宋体"/>
                <w:color w:val="000000"/>
                <w:sz w:val="20"/>
                <w:szCs w:val="20"/>
              </w:rPr>
              <w:t>）</w:t>
            </w:r>
            <w:r>
              <w:rPr>
                <w:rFonts w:hint="eastAsia" w:ascii="宋体" w:hAnsi="宋体"/>
                <w:color w:val="000000"/>
                <w:sz w:val="20"/>
                <w:szCs w:val="20"/>
              </w:rPr>
              <w:t>乡镇政府（街道办事处）</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olor w:val="000000"/>
                <w:sz w:val="20"/>
                <w:szCs w:val="20"/>
              </w:rPr>
            </w:pPr>
            <w:r>
              <w:rPr>
                <w:rFonts w:hint="eastAsia" w:ascii="宋体" w:hAnsi="宋体"/>
                <w:color w:val="000000"/>
                <w:sz w:val="20"/>
                <w:szCs w:val="20"/>
              </w:rPr>
              <w:t>171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十一、查阅点接待人数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宋体" w:hAnsi="宋体"/>
                <w:color w:val="000000"/>
                <w:sz w:val="20"/>
                <w:szCs w:val="20"/>
              </w:rPr>
            </w:pPr>
            <w:r>
              <w:rPr>
                <w:rFonts w:hint="eastAsia" w:ascii="宋体" w:hAnsi="宋体"/>
                <w:color w:val="000000"/>
                <w:sz w:val="20"/>
                <w:szCs w:val="20"/>
              </w:rPr>
              <w:t>88377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（一）</w:t>
            </w:r>
            <w:r>
              <w:rPr>
                <w:rFonts w:hint="eastAsia" w:ascii="宋体" w:hAnsi="宋体"/>
                <w:color w:val="000000"/>
                <w:sz w:val="20"/>
                <w:szCs w:val="20"/>
              </w:rPr>
              <w:t>市政府及其部门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宋体" w:hAnsi="宋体"/>
                <w:color w:val="000000"/>
                <w:sz w:val="20"/>
                <w:szCs w:val="20"/>
              </w:rPr>
            </w:pPr>
            <w:r>
              <w:rPr>
                <w:rFonts w:hint="eastAsia" w:ascii="宋体" w:hAnsi="宋体"/>
                <w:color w:val="000000"/>
                <w:sz w:val="20"/>
                <w:szCs w:val="20"/>
              </w:rPr>
              <w:t>57552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二</w:t>
            </w:r>
            <w:r>
              <w:rPr>
                <w:rFonts w:ascii="宋体" w:hAnsi="宋体"/>
                <w:color w:val="000000"/>
                <w:sz w:val="20"/>
                <w:szCs w:val="20"/>
              </w:rPr>
              <w:t>）</w:t>
            </w:r>
            <w:r>
              <w:rPr>
                <w:rFonts w:hint="eastAsia" w:ascii="宋体" w:hAnsi="宋体"/>
                <w:color w:val="000000"/>
                <w:sz w:val="20"/>
                <w:szCs w:val="20"/>
              </w:rPr>
              <w:t>县（市、区）政府及其部门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spacing w:line="420" w:lineRule="atLeast"/>
              <w:jc w:val="center"/>
              <w:rPr>
                <w:rFonts w:ascii="宋体" w:hAnsi="宋体"/>
                <w:color w:val="000000"/>
                <w:sz w:val="20"/>
                <w:szCs w:val="20"/>
              </w:rPr>
            </w:pPr>
            <w:r>
              <w:rPr>
                <w:rFonts w:hint="eastAsia" w:ascii="宋体" w:hAnsi="宋体"/>
                <w:color w:val="000000"/>
                <w:sz w:val="20"/>
                <w:szCs w:val="20"/>
              </w:rPr>
              <w:t>19613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right w:val="outset" w:color="000000" w:sz="6" w:space="0"/>
            </w:tcBorders>
            <w:shd w:val="clear" w:color="auto" w:fill="FFFFFF"/>
            <w:vAlign w:val="center"/>
          </w:tcPr>
          <w:p>
            <w:pPr>
              <w:spacing w:line="420" w:lineRule="atLeast"/>
              <w:ind w:firstLine="400" w:firstLineChars="200"/>
              <w:rPr>
                <w:rFonts w:ascii="宋体" w:hAnsi="宋体"/>
                <w:color w:val="000000"/>
                <w:sz w:val="20"/>
                <w:szCs w:val="20"/>
              </w:rPr>
            </w:pPr>
            <w:r>
              <w:rPr>
                <w:rFonts w:ascii="宋体" w:hAnsi="宋体"/>
                <w:color w:val="000000"/>
                <w:sz w:val="20"/>
                <w:szCs w:val="20"/>
              </w:rPr>
              <w:t>（</w:t>
            </w:r>
            <w:r>
              <w:rPr>
                <w:rFonts w:hint="eastAsia" w:ascii="宋体" w:hAnsi="宋体"/>
                <w:color w:val="000000"/>
                <w:sz w:val="20"/>
                <w:szCs w:val="20"/>
              </w:rPr>
              <w:t>三</w:t>
            </w:r>
            <w:r>
              <w:rPr>
                <w:rFonts w:ascii="宋体" w:hAnsi="宋体"/>
                <w:color w:val="000000"/>
                <w:sz w:val="20"/>
                <w:szCs w:val="20"/>
              </w:rPr>
              <w:t>）</w:t>
            </w:r>
            <w:r>
              <w:rPr>
                <w:rFonts w:hint="eastAsia" w:ascii="宋体" w:hAnsi="宋体"/>
                <w:color w:val="000000"/>
                <w:sz w:val="20"/>
                <w:szCs w:val="20"/>
              </w:rPr>
              <w:t>乡镇政府（街道办事处）</w:t>
            </w:r>
          </w:p>
        </w:tc>
        <w:tc>
          <w:tcPr>
            <w:tcW w:w="1002" w:type="dxa"/>
            <w:tcBorders>
              <w:top w:val="single" w:color="auto" w:sz="4" w:space="0"/>
              <w:left w:val="outset" w:color="000000" w:sz="6" w:space="0"/>
              <w:right w:val="outset" w:color="000000" w:sz="6" w:space="0"/>
            </w:tcBorders>
            <w:shd w:val="clear" w:color="auto" w:fill="FFFFFF"/>
            <w:vAlign w:val="center"/>
          </w:tcPr>
          <w:p>
            <w:pPr>
              <w:spacing w:line="420" w:lineRule="atLeast"/>
              <w:jc w:val="center"/>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right w:val="outset" w:color="000000" w:sz="6" w:space="0"/>
            </w:tcBorders>
            <w:shd w:val="clear" w:color="auto" w:fill="FFFFFF"/>
            <w:vAlign w:val="center"/>
          </w:tcPr>
          <w:p>
            <w:pPr>
              <w:widowControl/>
              <w:spacing w:line="420" w:lineRule="atLeast"/>
              <w:jc w:val="center"/>
              <w:rPr>
                <w:rFonts w:ascii="宋体" w:hAnsi="宋体"/>
                <w:color w:val="000000"/>
                <w:sz w:val="20"/>
                <w:szCs w:val="20"/>
              </w:rPr>
            </w:pPr>
            <w:r>
              <w:rPr>
                <w:rFonts w:hint="eastAsia" w:ascii="宋体" w:hAnsi="宋体"/>
                <w:color w:val="000000"/>
                <w:sz w:val="20"/>
                <w:szCs w:val="20"/>
              </w:rPr>
              <w:t>11212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b/>
                <w:bCs/>
                <w:color w:val="000000"/>
                <w:sz w:val="20"/>
                <w:szCs w:val="20"/>
              </w:rPr>
              <w:t>十二、机构建设和保障经费情况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（一）政府信息公开工作专门机构数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526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（二）设置政府信息公开查阅点数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709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（三）从事政府信息公开工作人员数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1615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1.专职人员数（不包括政府公报及政府网站工作人员数）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551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2.兼职人员数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1064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（四）政府信息公开专项经费（不包括用于政府公报编辑管理及政府网站建设维</w:t>
            </w:r>
            <w:r>
              <w:rPr>
                <w:rFonts w:ascii="宋体" w:hAnsi="宋体"/>
                <w:color w:val="000000"/>
                <w:sz w:val="20"/>
                <w:szCs w:val="20"/>
              </w:rPr>
              <w:br w:type="textWrapping"/>
            </w:r>
            <w:r>
              <w:rPr>
                <w:rFonts w:ascii="宋体" w:hAnsi="宋体"/>
                <w:color w:val="000000"/>
                <w:sz w:val="20"/>
                <w:szCs w:val="20"/>
              </w:rPr>
              <w:t>　　　　　护等方面的经费）</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万元</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154.8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黑体" w:hAnsi="宋体" w:eastAsia="黑体" w:cs="宋体"/>
                <w:color w:val="000000"/>
                <w:sz w:val="24"/>
              </w:rPr>
            </w:pPr>
            <w:r>
              <w:rPr>
                <w:rFonts w:hint="eastAsia" w:ascii="黑体" w:hAnsi="宋体" w:eastAsia="黑体"/>
                <w:color w:val="000000"/>
                <w:sz w:val="20"/>
                <w:szCs w:val="20"/>
              </w:rPr>
              <w:t>十三、政府信息公开会议和培训情况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（一）召开政府信息公开工作会议或专题会议数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362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（二）举办各类培训班数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262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（三）接受培训人员数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4"/>
              </w:rPr>
            </w:pPr>
            <w:r>
              <w:rPr>
                <w:rFonts w:hint="eastAsia" w:ascii="宋体" w:hAnsi="宋体"/>
                <w:color w:val="000000"/>
                <w:sz w:val="20"/>
                <w:szCs w:val="20"/>
              </w:rPr>
              <w:t>人次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cs="宋体"/>
                <w:color w:val="000000"/>
                <w:sz w:val="20"/>
                <w:szCs w:val="20"/>
              </w:rPr>
            </w:pPr>
            <w:r>
              <w:rPr>
                <w:rFonts w:hint="eastAsia" w:ascii="宋体" w:hAnsi="宋体" w:cs="宋体"/>
                <w:color w:val="000000"/>
                <w:sz w:val="20"/>
                <w:szCs w:val="20"/>
              </w:rPr>
              <w:t>13589</w:t>
            </w:r>
          </w:p>
        </w:tc>
      </w:tr>
    </w:tbl>
    <w:p>
      <w:pPr>
        <w:rPr>
          <w:rFonts w:ascii="宋体" w:hAnsi="宋体"/>
          <w:color w:val="000000"/>
          <w:sz w:val="20"/>
          <w:szCs w:val="20"/>
        </w:rPr>
      </w:pPr>
      <w:r>
        <w:rPr>
          <w:rFonts w:hint="eastAsia" w:ascii="宋体" w:hAnsi="宋体"/>
          <w:color w:val="000000"/>
          <w:sz w:val="20"/>
          <w:szCs w:val="20"/>
        </w:rPr>
        <w:t>（注：各子栏目数总数要等于总栏目数量）</w:t>
      </w: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rPr>
          <w:rFonts w:ascii="宋体" w:hAnsi="宋体"/>
          <w:b/>
        </w:rPr>
      </w:pPr>
    </w:p>
    <w:p>
      <w:pPr>
        <w:widowControl/>
        <w:spacing w:line="620" w:lineRule="exact"/>
        <w:ind w:right="640" w:firstLine="160" w:firstLineChars="50"/>
        <w:jc w:val="center"/>
        <w:rPr>
          <w:rFonts w:ascii="文星标宋" w:hAnsi="文星标宋" w:eastAsia="文星标宋"/>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黑体_GBK">
    <w:altName w:val="黑体"/>
    <w:panose1 w:val="00000000000000000000"/>
    <w:charset w:val="86"/>
    <w:family w:val="auto"/>
    <w:pitch w:val="default"/>
    <w:sig w:usb0="00000000" w:usb1="00000000" w:usb2="00000010" w:usb3="00000000" w:csb0="00040000" w:csb1="00000000"/>
  </w:font>
  <w:font w:name="文星标宋">
    <w:panose1 w:val="02010604000101010101"/>
    <w:charset w:val="86"/>
    <w:family w:val="auto"/>
    <w:pitch w:val="default"/>
    <w:sig w:usb0="00000001" w:usb1="080E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0000000000000000000"/>
    <w:charset w:val="86"/>
    <w:family w:val="auto"/>
    <w:pitch w:val="default"/>
    <w:sig w:usb0="00000000" w:usb1="00000000" w:usb2="00000016" w:usb3="00000000" w:csb0="0004000F" w:csb1="00000000"/>
  </w:font>
  <w:font w:name="Arial">
    <w:panose1 w:val="020B0604020202020204"/>
    <w:charset w:val="00"/>
    <w:family w:val="auto"/>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叶根友毛笔行书2.0版">
    <w:panose1 w:val="02010601030101010101"/>
    <w:charset w:val="86"/>
    <w:family w:val="auto"/>
    <w:pitch w:val="default"/>
    <w:sig w:usb0="00000001" w:usb1="080E0000" w:usb2="00000000" w:usb3="00000000" w:csb0="00040000" w:csb1="00000000"/>
  </w:font>
  <w:font w:name="文星中文符号库一">
    <w:panose1 w:val="02010609000101010101"/>
    <w:charset w:val="00"/>
    <w:family w:val="auto"/>
    <w:pitch w:val="default"/>
    <w:sig w:usb0="00000001" w:usb1="080E0000" w:usb2="00000000" w:usb3="00000000" w:csb0="00000000" w:csb1="00000000"/>
  </w:font>
  <w:font w:name="文星中等线">
    <w:panose1 w:val="02010604000101010101"/>
    <w:charset w:val="86"/>
    <w:family w:val="auto"/>
    <w:pitch w:val="default"/>
    <w:sig w:usb0="00000001" w:usb1="080E0000" w:usb2="00000000" w:usb3="00000000" w:csb0="00040001" w:csb1="00000000"/>
  </w:font>
  <w:font w:name="文星仿宋">
    <w:panose1 w:val="02010604000101010101"/>
    <w:charset w:val="86"/>
    <w:family w:val="auto"/>
    <w:pitch w:val="default"/>
    <w:sig w:usb0="00000001" w:usb1="080E0000" w:usb2="00000000" w:usb3="00000000" w:csb0="00040001" w:csb1="00000000"/>
  </w:font>
  <w:font w:name="文星准圆">
    <w:panose1 w:val="02010604000101010101"/>
    <w:charset w:val="86"/>
    <w:family w:val="auto"/>
    <w:pitch w:val="default"/>
    <w:sig w:usb0="00000001" w:usb1="080E0000" w:usb2="00000000" w:usb3="00000000" w:csb0="00040001" w:csb1="00000000"/>
  </w:font>
  <w:font w:name="文星报宋">
    <w:panose1 w:val="02010609000101010101"/>
    <w:charset w:val="86"/>
    <w:family w:val="auto"/>
    <w:pitch w:val="default"/>
    <w:sig w:usb0="00000001" w:usb1="080E0000" w:usb2="00000000" w:usb3="00000000" w:csb0="00040000" w:csb1="00000000"/>
  </w:font>
  <w:font w:name="文星排版符号库１">
    <w:panose1 w:val="02010609000101010101"/>
    <w:charset w:val="00"/>
    <w:family w:val="auto"/>
    <w:pitch w:val="default"/>
    <w:sig w:usb0="00000001" w:usb1="080E0000" w:usb2="00000000" w:usb3="00000000" w:csb0="00000000" w:csb1="00000000"/>
  </w:font>
  <w:font w:name="文星楷体">
    <w:panose1 w:val="02010604000101010101"/>
    <w:charset w:val="86"/>
    <w:family w:val="auto"/>
    <w:pitch w:val="default"/>
    <w:sig w:usb0="00000001" w:usb1="080E0000" w:usb2="00000000" w:usb3="00000000" w:csb0="00040001" w:csb1="00000000"/>
  </w:font>
  <w:font w:name="文星简中长宋">
    <w:panose1 w:val="02010609000101010101"/>
    <w:charset w:val="00"/>
    <w:family w:val="auto"/>
    <w:pitch w:val="default"/>
    <w:sig w:usb0="00000001" w:usb1="080E0000" w:usb2="00000000" w:usb3="00000000" w:csb0="00000000" w:csb1="00000000"/>
  </w:font>
  <w:font w:name="文星简大标宋">
    <w:panose1 w:val="02010609000101010101"/>
    <w:charset w:val="00"/>
    <w:family w:val="auto"/>
    <w:pitch w:val="default"/>
    <w:sig w:usb0="00000001" w:usb1="080E0000" w:usb2="00000000" w:usb3="00000000" w:csb0="00000000" w:csb1="00000000"/>
  </w:font>
  <w:font w:name="文星简大黑">
    <w:panose1 w:val="02010609000101010101"/>
    <w:charset w:val="00"/>
    <w:family w:val="auto"/>
    <w:pitch w:val="default"/>
    <w:sig w:usb0="00000001" w:usb1="080E0000" w:usb2="00000000" w:usb3="00000000" w:csb0="00000000" w:csb1="00000000"/>
  </w:font>
  <w:font w:name="文星简彩云">
    <w:panose1 w:val="02010609000101010101"/>
    <w:charset w:val="00"/>
    <w:family w:val="auto"/>
    <w:pitch w:val="default"/>
    <w:sig w:usb0="00000001" w:usb1="080E0000" w:usb2="00000000" w:usb3="00000000" w:csb0="00000000" w:csb1="00000000"/>
  </w:font>
  <w:font w:name="文星简楷宋">
    <w:panose1 w:val="02010609000101010101"/>
    <w:charset w:val="00"/>
    <w:family w:val="auto"/>
    <w:pitch w:val="default"/>
    <w:sig w:usb0="00000001" w:usb1="080E0000" w:usb2="00000000" w:usb3="00000000" w:csb0="00000000" w:csb1="00000000"/>
  </w:font>
  <w:font w:name="文星简粗圆">
    <w:panose1 w:val="02010609000101010101"/>
    <w:charset w:val="00"/>
    <w:family w:val="auto"/>
    <w:pitch w:val="default"/>
    <w:sig w:usb0="00000001" w:usb1="080E0000" w:usb2="00000000" w:usb3="00000000" w:csb0="00000000" w:csb1="00000000"/>
  </w:font>
  <w:font w:name="文星简粗黑">
    <w:panose1 w:val="02010609000101010101"/>
    <w:charset w:val="00"/>
    <w:family w:val="auto"/>
    <w:pitch w:val="default"/>
    <w:sig w:usb0="00000001" w:usb1="080E0000" w:usb2="00000000" w:usb3="00000000" w:csb0="00000000" w:csb1="00000000"/>
  </w:font>
  <w:font w:name="文星简美黑">
    <w:panose1 w:val="02010609000101010101"/>
    <w:charset w:val="00"/>
    <w:family w:val="auto"/>
    <w:pitch w:val="default"/>
    <w:sig w:usb0="00000001" w:usb1="080E0000" w:usb2="00000000" w:usb3="00000000" w:csb0="00000000" w:csb1="00000000"/>
  </w:font>
  <w:font w:name="文星简舒同">
    <w:panose1 w:val="02010609000101010101"/>
    <w:charset w:val="00"/>
    <w:family w:val="auto"/>
    <w:pitch w:val="default"/>
    <w:sig w:usb0="00000001" w:usb1="080E0000" w:usb2="00000000" w:usb3="00000000" w:csb0="00000000" w:csb1="00000000"/>
  </w:font>
  <w:font w:name="文星简超黑">
    <w:panose1 w:val="02010609000101010101"/>
    <w:charset w:val="00"/>
    <w:family w:val="auto"/>
    <w:pitch w:val="default"/>
    <w:sig w:usb0="00000001" w:usb1="080E0000" w:usb2="00000000" w:usb3="00000000" w:csb0="00000000" w:csb1="00000000"/>
  </w:font>
  <w:font w:name="文星简隶书">
    <w:panose1 w:val="02010609000101010101"/>
    <w:charset w:val="00"/>
    <w:family w:val="auto"/>
    <w:pitch w:val="default"/>
    <w:sig w:usb0="00000001" w:usb1="080E0000" w:usb2="00000000" w:usb3="00000000" w:csb0="00000000" w:csb1="00000000"/>
  </w:font>
  <w:font w:name="文星简黑变">
    <w:panose1 w:val="02010609000101010101"/>
    <w:charset w:val="00"/>
    <w:family w:val="auto"/>
    <w:pitch w:val="default"/>
    <w:sig w:usb0="00000001" w:usb1="080E0000" w:usb2="00000000" w:usb3="00000000" w:csb0="00000000" w:csb1="00000000"/>
  </w:font>
  <w:font w:name="文星细圆">
    <w:panose1 w:val="02010604000101010101"/>
    <w:charset w:val="86"/>
    <w:family w:val="auto"/>
    <w:pitch w:val="default"/>
    <w:sig w:usb0="00000001" w:usb1="080E0000" w:usb2="00000000" w:usb3="00000000" w:csb0="00040001" w:csb1="00000000"/>
  </w:font>
  <w:font w:name="文星细黑一">
    <w:panose1 w:val="02010604000101010101"/>
    <w:charset w:val="86"/>
    <w:family w:val="auto"/>
    <w:pitch w:val="default"/>
    <w:sig w:usb0="00000001" w:usb1="080E0000" w:usb2="00000000" w:usb3="00000000" w:csb0="00040001" w:csb1="00000000"/>
  </w:font>
  <w:font w:name="文星隶变">
    <w:panose1 w:val="02010604000101010101"/>
    <w:charset w:val="86"/>
    <w:family w:val="auto"/>
    <w:pitch w:val="default"/>
    <w:sig w:usb0="00000001" w:usb1="080E0000" w:usb2="00000000" w:usb3="00000000" w:csb0="00040001" w:csb1="00000000"/>
  </w:font>
  <w:font w:name="文星黑体">
    <w:panose1 w:val="02010604000101010101"/>
    <w:charset w:val="86"/>
    <w:family w:val="auto"/>
    <w:pitch w:val="default"/>
    <w:sig w:usb0="00000001" w:usb1="080E0000" w:usb2="00000000" w:usb3="00000000" w:csb0="00040001" w:csb1="00000000"/>
  </w:font>
  <w:font w:name="新宋体">
    <w:panose1 w:val="02010609030101010101"/>
    <w:charset w:val="86"/>
    <w:family w:val="auto"/>
    <w:pitch w:val="default"/>
    <w:sig w:usb0="00000003" w:usb1="288F0000" w:usb2="00000006" w:usb3="00000000" w:csb0="00040001" w:csb1="00000000"/>
  </w:font>
  <w:font w:name="方正书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兰亭粗黑_GBK">
    <w:panose1 w:val="02000000000000000000"/>
    <w:charset w:val="86"/>
    <w:family w:val="auto"/>
    <w:pitch w:val="default"/>
    <w:sig w:usb0="00000001" w:usb1="08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琥珀简体">
    <w:panose1 w:val="02010601030101010101"/>
    <w:charset w:val="86"/>
    <w:family w:val="auto"/>
    <w:pitch w:val="default"/>
    <w:sig w:usb0="00000001" w:usb1="080E0000" w:usb2="00000000" w:usb3="00000000" w:csb0="00040000" w:csb1="00000000"/>
  </w:font>
  <w:font w:name="方正美黑简体">
    <w:panose1 w:val="03000509000000000000"/>
    <w:charset w:val="86"/>
    <w:family w:val="auto"/>
    <w:pitch w:val="default"/>
    <w:sig w:usb0="00000001" w:usb1="080E0000" w:usb2="00000000" w:usb3="00000000" w:csb0="00040000" w:csb1="00000000"/>
  </w:font>
  <w:font w:name="方正超粗黑简体">
    <w:panose1 w:val="02010601030101010101"/>
    <w:charset w:val="86"/>
    <w:family w:val="auto"/>
    <w:pitch w:val="default"/>
    <w:sig w:usb0="00000001" w:usb1="080E0000" w:usb2="00000000" w:usb3="00000000" w:csb0="00040000" w:csb1="00000000"/>
  </w:font>
  <w:font w:name="方正隶书_GBK">
    <w:panose1 w:val="03000509000000000000"/>
    <w:charset w:val="86"/>
    <w:family w:val="auto"/>
    <w:pitch w:val="default"/>
    <w:sig w:usb0="00000001" w:usb1="080E0000" w:usb2="00000000" w:usb3="00000000" w:csb0="00040000" w:csb1="00000000"/>
  </w:font>
  <w:font w:name="方正魏碑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279202"/>
    </w:sdtPr>
    <w:sdtContent>
      <w:p>
        <w:pPr>
          <w:pStyle w:val="4"/>
          <w:jc w:val="center"/>
        </w:pPr>
        <w:r>
          <w:fldChar w:fldCharType="begin"/>
        </w:r>
        <w:r>
          <w:instrText xml:space="preserve"> PAGE   \* MERGEFORMAT </w:instrText>
        </w:r>
        <w:r>
          <w:fldChar w:fldCharType="separate"/>
        </w:r>
        <w:r>
          <w:rPr>
            <w:lang w:val="zh-CN"/>
          </w:rPr>
          <w:t>27</w:t>
        </w:r>
        <w:r>
          <w:rPr>
            <w:lang w:val="zh-CN"/>
          </w:rP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DB228D"/>
    <w:rsid w:val="00016D22"/>
    <w:rsid w:val="000213D6"/>
    <w:rsid w:val="000520AA"/>
    <w:rsid w:val="000543C1"/>
    <w:rsid w:val="00056386"/>
    <w:rsid w:val="00056DBD"/>
    <w:rsid w:val="00072681"/>
    <w:rsid w:val="00073077"/>
    <w:rsid w:val="000A4503"/>
    <w:rsid w:val="000A5945"/>
    <w:rsid w:val="000C31E0"/>
    <w:rsid w:val="000C4658"/>
    <w:rsid w:val="000D0BCC"/>
    <w:rsid w:val="000D1E3A"/>
    <w:rsid w:val="000D3E87"/>
    <w:rsid w:val="000D7ED5"/>
    <w:rsid w:val="000E0C7E"/>
    <w:rsid w:val="000E7A28"/>
    <w:rsid w:val="000F4B05"/>
    <w:rsid w:val="00112A04"/>
    <w:rsid w:val="00116ECB"/>
    <w:rsid w:val="00142962"/>
    <w:rsid w:val="00143513"/>
    <w:rsid w:val="0014633E"/>
    <w:rsid w:val="001921B2"/>
    <w:rsid w:val="001A2980"/>
    <w:rsid w:val="001B17D9"/>
    <w:rsid w:val="001C0F87"/>
    <w:rsid w:val="001D35FF"/>
    <w:rsid w:val="001D3E7F"/>
    <w:rsid w:val="001F0201"/>
    <w:rsid w:val="00207F7D"/>
    <w:rsid w:val="00216C64"/>
    <w:rsid w:val="002204B9"/>
    <w:rsid w:val="002260DE"/>
    <w:rsid w:val="00230884"/>
    <w:rsid w:val="00235523"/>
    <w:rsid w:val="00240FC1"/>
    <w:rsid w:val="002463CA"/>
    <w:rsid w:val="0025227E"/>
    <w:rsid w:val="0026059B"/>
    <w:rsid w:val="00263220"/>
    <w:rsid w:val="0027060D"/>
    <w:rsid w:val="002806F6"/>
    <w:rsid w:val="002A3DEB"/>
    <w:rsid w:val="002B6351"/>
    <w:rsid w:val="002B7CD9"/>
    <w:rsid w:val="002C01DB"/>
    <w:rsid w:val="002D065F"/>
    <w:rsid w:val="002E3FA3"/>
    <w:rsid w:val="002F70D5"/>
    <w:rsid w:val="003025C3"/>
    <w:rsid w:val="003127B2"/>
    <w:rsid w:val="00321F4C"/>
    <w:rsid w:val="00323709"/>
    <w:rsid w:val="00332A7A"/>
    <w:rsid w:val="00362FAC"/>
    <w:rsid w:val="003671C8"/>
    <w:rsid w:val="003A251B"/>
    <w:rsid w:val="003C7592"/>
    <w:rsid w:val="003D75BA"/>
    <w:rsid w:val="003F34D8"/>
    <w:rsid w:val="003F355D"/>
    <w:rsid w:val="003F4221"/>
    <w:rsid w:val="00413596"/>
    <w:rsid w:val="004153CB"/>
    <w:rsid w:val="004205C5"/>
    <w:rsid w:val="0046271C"/>
    <w:rsid w:val="00472D09"/>
    <w:rsid w:val="004835B2"/>
    <w:rsid w:val="004949A4"/>
    <w:rsid w:val="004966CE"/>
    <w:rsid w:val="00496C9B"/>
    <w:rsid w:val="004A4EDD"/>
    <w:rsid w:val="004B0196"/>
    <w:rsid w:val="004C30AB"/>
    <w:rsid w:val="004C39DF"/>
    <w:rsid w:val="004E31DB"/>
    <w:rsid w:val="004E55BE"/>
    <w:rsid w:val="004F3A5D"/>
    <w:rsid w:val="004F3A93"/>
    <w:rsid w:val="005218F3"/>
    <w:rsid w:val="00545519"/>
    <w:rsid w:val="00550743"/>
    <w:rsid w:val="00554F8C"/>
    <w:rsid w:val="00556558"/>
    <w:rsid w:val="00564876"/>
    <w:rsid w:val="005745F4"/>
    <w:rsid w:val="005C2F09"/>
    <w:rsid w:val="005C590B"/>
    <w:rsid w:val="005C727C"/>
    <w:rsid w:val="005C72EC"/>
    <w:rsid w:val="005E2645"/>
    <w:rsid w:val="005E3829"/>
    <w:rsid w:val="005F087A"/>
    <w:rsid w:val="005F7BF3"/>
    <w:rsid w:val="00600720"/>
    <w:rsid w:val="00613A8C"/>
    <w:rsid w:val="006224E9"/>
    <w:rsid w:val="006245A7"/>
    <w:rsid w:val="0062518A"/>
    <w:rsid w:val="0062533F"/>
    <w:rsid w:val="0063442C"/>
    <w:rsid w:val="0064031B"/>
    <w:rsid w:val="00662C4F"/>
    <w:rsid w:val="00674BC4"/>
    <w:rsid w:val="006976D1"/>
    <w:rsid w:val="006A133F"/>
    <w:rsid w:val="006A31BE"/>
    <w:rsid w:val="006D5F0A"/>
    <w:rsid w:val="006D6DA1"/>
    <w:rsid w:val="006F7867"/>
    <w:rsid w:val="00706091"/>
    <w:rsid w:val="0072326F"/>
    <w:rsid w:val="0072380E"/>
    <w:rsid w:val="00727B80"/>
    <w:rsid w:val="00756B19"/>
    <w:rsid w:val="0076310F"/>
    <w:rsid w:val="00763632"/>
    <w:rsid w:val="007773A2"/>
    <w:rsid w:val="00781E78"/>
    <w:rsid w:val="007E5F4A"/>
    <w:rsid w:val="00803AAC"/>
    <w:rsid w:val="008071CA"/>
    <w:rsid w:val="00807259"/>
    <w:rsid w:val="00853AE8"/>
    <w:rsid w:val="00861C1C"/>
    <w:rsid w:val="00865698"/>
    <w:rsid w:val="008660CE"/>
    <w:rsid w:val="00874990"/>
    <w:rsid w:val="00875E19"/>
    <w:rsid w:val="00876C16"/>
    <w:rsid w:val="0088790D"/>
    <w:rsid w:val="008C41D3"/>
    <w:rsid w:val="008D555C"/>
    <w:rsid w:val="008F44E3"/>
    <w:rsid w:val="00900D4B"/>
    <w:rsid w:val="00904EA7"/>
    <w:rsid w:val="00905D48"/>
    <w:rsid w:val="00912725"/>
    <w:rsid w:val="00912833"/>
    <w:rsid w:val="009447A0"/>
    <w:rsid w:val="00956CD6"/>
    <w:rsid w:val="009577DD"/>
    <w:rsid w:val="009633EB"/>
    <w:rsid w:val="009A1AE8"/>
    <w:rsid w:val="009A2237"/>
    <w:rsid w:val="009B04B1"/>
    <w:rsid w:val="009B0C68"/>
    <w:rsid w:val="009C7812"/>
    <w:rsid w:val="009D453D"/>
    <w:rsid w:val="00A0650D"/>
    <w:rsid w:val="00A12095"/>
    <w:rsid w:val="00A14749"/>
    <w:rsid w:val="00A15451"/>
    <w:rsid w:val="00A225DF"/>
    <w:rsid w:val="00A35985"/>
    <w:rsid w:val="00A53EF8"/>
    <w:rsid w:val="00A62754"/>
    <w:rsid w:val="00A80771"/>
    <w:rsid w:val="00A81FCF"/>
    <w:rsid w:val="00A867A4"/>
    <w:rsid w:val="00A90C95"/>
    <w:rsid w:val="00AA03F3"/>
    <w:rsid w:val="00AA2200"/>
    <w:rsid w:val="00AA4288"/>
    <w:rsid w:val="00AA53F6"/>
    <w:rsid w:val="00AB0AB3"/>
    <w:rsid w:val="00AB55F4"/>
    <w:rsid w:val="00AD0AF8"/>
    <w:rsid w:val="00AD28E4"/>
    <w:rsid w:val="00AE3EC0"/>
    <w:rsid w:val="00AE62BA"/>
    <w:rsid w:val="00B04C28"/>
    <w:rsid w:val="00B066B6"/>
    <w:rsid w:val="00B21B16"/>
    <w:rsid w:val="00B24DD6"/>
    <w:rsid w:val="00B36B5B"/>
    <w:rsid w:val="00B3739C"/>
    <w:rsid w:val="00B65AF1"/>
    <w:rsid w:val="00B768EE"/>
    <w:rsid w:val="00B93DD0"/>
    <w:rsid w:val="00BA7B24"/>
    <w:rsid w:val="00BC19CF"/>
    <w:rsid w:val="00BC3253"/>
    <w:rsid w:val="00BC4C46"/>
    <w:rsid w:val="00BC5691"/>
    <w:rsid w:val="00BC7105"/>
    <w:rsid w:val="00BD1442"/>
    <w:rsid w:val="00BD2E60"/>
    <w:rsid w:val="00BD5A6A"/>
    <w:rsid w:val="00BD68A2"/>
    <w:rsid w:val="00BF0EF9"/>
    <w:rsid w:val="00BF60E7"/>
    <w:rsid w:val="00C00229"/>
    <w:rsid w:val="00C23AEA"/>
    <w:rsid w:val="00C25D07"/>
    <w:rsid w:val="00C32A51"/>
    <w:rsid w:val="00C455F4"/>
    <w:rsid w:val="00C5227A"/>
    <w:rsid w:val="00C64D31"/>
    <w:rsid w:val="00C73B9D"/>
    <w:rsid w:val="00C84CA5"/>
    <w:rsid w:val="00C863AA"/>
    <w:rsid w:val="00C869FD"/>
    <w:rsid w:val="00C87D36"/>
    <w:rsid w:val="00C95ECE"/>
    <w:rsid w:val="00C96C72"/>
    <w:rsid w:val="00CA4F05"/>
    <w:rsid w:val="00CB27D4"/>
    <w:rsid w:val="00CC2B21"/>
    <w:rsid w:val="00CC6BF8"/>
    <w:rsid w:val="00CF4FF0"/>
    <w:rsid w:val="00CF7B22"/>
    <w:rsid w:val="00D212F2"/>
    <w:rsid w:val="00D33588"/>
    <w:rsid w:val="00D345CC"/>
    <w:rsid w:val="00D50236"/>
    <w:rsid w:val="00D571A4"/>
    <w:rsid w:val="00D772EC"/>
    <w:rsid w:val="00D9140A"/>
    <w:rsid w:val="00DA21FD"/>
    <w:rsid w:val="00DA2821"/>
    <w:rsid w:val="00DA34C2"/>
    <w:rsid w:val="00DA39D7"/>
    <w:rsid w:val="00DA6AD0"/>
    <w:rsid w:val="00DB228D"/>
    <w:rsid w:val="00DD2F80"/>
    <w:rsid w:val="00E12806"/>
    <w:rsid w:val="00E34897"/>
    <w:rsid w:val="00E41433"/>
    <w:rsid w:val="00E4297A"/>
    <w:rsid w:val="00E5408B"/>
    <w:rsid w:val="00E66E09"/>
    <w:rsid w:val="00E87D4C"/>
    <w:rsid w:val="00E90529"/>
    <w:rsid w:val="00EA0042"/>
    <w:rsid w:val="00EA157E"/>
    <w:rsid w:val="00EA225F"/>
    <w:rsid w:val="00EB1937"/>
    <w:rsid w:val="00EB51B4"/>
    <w:rsid w:val="00F26D3F"/>
    <w:rsid w:val="00F30D83"/>
    <w:rsid w:val="00F34DF4"/>
    <w:rsid w:val="00F62F11"/>
    <w:rsid w:val="00F86C87"/>
    <w:rsid w:val="00F960CF"/>
    <w:rsid w:val="00F96E6E"/>
    <w:rsid w:val="00FA72BC"/>
    <w:rsid w:val="00FA7E54"/>
    <w:rsid w:val="00FB6BA3"/>
    <w:rsid w:val="00FB7E4A"/>
    <w:rsid w:val="00FC4549"/>
    <w:rsid w:val="015E696E"/>
    <w:rsid w:val="020E2C8C"/>
    <w:rsid w:val="032A4E03"/>
    <w:rsid w:val="05344F17"/>
    <w:rsid w:val="0B8C100E"/>
    <w:rsid w:val="0E146B0F"/>
    <w:rsid w:val="11DC4D24"/>
    <w:rsid w:val="1461280A"/>
    <w:rsid w:val="14D03A51"/>
    <w:rsid w:val="175661B8"/>
    <w:rsid w:val="1A605D4D"/>
    <w:rsid w:val="250F3F28"/>
    <w:rsid w:val="25447DEE"/>
    <w:rsid w:val="26603301"/>
    <w:rsid w:val="26E620BB"/>
    <w:rsid w:val="29C10255"/>
    <w:rsid w:val="2B434FA2"/>
    <w:rsid w:val="2B5474D5"/>
    <w:rsid w:val="2F6E29AD"/>
    <w:rsid w:val="2F91508C"/>
    <w:rsid w:val="30211033"/>
    <w:rsid w:val="302D431F"/>
    <w:rsid w:val="340B70EB"/>
    <w:rsid w:val="35AF7FF7"/>
    <w:rsid w:val="37772AAB"/>
    <w:rsid w:val="379E6754"/>
    <w:rsid w:val="380A0782"/>
    <w:rsid w:val="38603C9D"/>
    <w:rsid w:val="3C9B2B17"/>
    <w:rsid w:val="3D0627AC"/>
    <w:rsid w:val="3E7F5089"/>
    <w:rsid w:val="4554358F"/>
    <w:rsid w:val="47E94790"/>
    <w:rsid w:val="4856714B"/>
    <w:rsid w:val="49122F66"/>
    <w:rsid w:val="4B5C71AE"/>
    <w:rsid w:val="4B92027F"/>
    <w:rsid w:val="4CEF6B64"/>
    <w:rsid w:val="4CF20C3C"/>
    <w:rsid w:val="4D787D89"/>
    <w:rsid w:val="515A6CA9"/>
    <w:rsid w:val="5219486C"/>
    <w:rsid w:val="56311A12"/>
    <w:rsid w:val="577975FB"/>
    <w:rsid w:val="58593CEC"/>
    <w:rsid w:val="5AA52B2D"/>
    <w:rsid w:val="5CB12426"/>
    <w:rsid w:val="5F6913AB"/>
    <w:rsid w:val="60B17EF5"/>
    <w:rsid w:val="65CE2437"/>
    <w:rsid w:val="69353B22"/>
    <w:rsid w:val="69F62DC4"/>
    <w:rsid w:val="6A7366BA"/>
    <w:rsid w:val="6D375065"/>
    <w:rsid w:val="6E373902"/>
    <w:rsid w:val="70033123"/>
    <w:rsid w:val="70B4411E"/>
    <w:rsid w:val="71135731"/>
    <w:rsid w:val="73FB7DC8"/>
    <w:rsid w:val="78E94870"/>
    <w:rsid w:val="7CCE4C97"/>
    <w:rsid w:val="7E791DCC"/>
    <w:rsid w:val="7E875A38"/>
    <w:rsid w:val="7EF47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Date"/>
    <w:basedOn w:val="1"/>
    <w:next w:val="1"/>
    <w:link w:val="20"/>
    <w:unhideWhenUsed/>
    <w:qFormat/>
    <w:uiPriority w:val="99"/>
    <w:pPr>
      <w:ind w:left="100" w:leftChars="2500"/>
    </w:pPr>
  </w:style>
  <w:style w:type="paragraph" w:styleId="3">
    <w:name w:val="Balloon Text"/>
    <w:basedOn w:val="1"/>
    <w:link w:val="17"/>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0"/>
    <w:pPr>
      <w:widowControl/>
      <w:jc w:val="left"/>
    </w:pPr>
    <w:rPr>
      <w:rFonts w:ascii="宋体" w:hAnsi="宋体" w:eastAsia="宋体" w:cs="宋体"/>
      <w:kern w:val="0"/>
      <w:sz w:val="24"/>
      <w:szCs w:val="24"/>
    </w:rPr>
  </w:style>
  <w:style w:type="character" w:styleId="8">
    <w:name w:val="Strong"/>
    <w:basedOn w:val="7"/>
    <w:qFormat/>
    <w:uiPriority w:val="0"/>
    <w:rPr>
      <w:b/>
      <w:bCs/>
    </w:rPr>
  </w:style>
  <w:style w:type="character" w:styleId="9">
    <w:name w:val="Emphasis"/>
    <w:basedOn w:val="7"/>
    <w:qFormat/>
    <w:uiPriority w:val="20"/>
    <w:rPr>
      <w:i/>
      <w:iCs/>
    </w:rPr>
  </w:style>
  <w:style w:type="character" w:styleId="10">
    <w:name w:val="Hyperlink"/>
    <w:basedOn w:val="7"/>
    <w:unhideWhenUsed/>
    <w:qFormat/>
    <w:uiPriority w:val="99"/>
    <w:rPr>
      <w:color w:val="0000FF"/>
      <w:u w:val="single"/>
    </w:rPr>
  </w:style>
  <w:style w:type="paragraph" w:customStyle="1" w:styleId="12">
    <w:name w:val="List Paragraph"/>
    <w:basedOn w:val="1"/>
    <w:qFormat/>
    <w:uiPriority w:val="34"/>
    <w:pPr>
      <w:ind w:firstLine="420" w:firstLineChars="200"/>
    </w:pPr>
  </w:style>
  <w:style w:type="character" w:customStyle="1" w:styleId="13">
    <w:name w:val="页眉 Char"/>
    <w:basedOn w:val="7"/>
    <w:link w:val="5"/>
    <w:semiHidden/>
    <w:qFormat/>
    <w:uiPriority w:val="99"/>
    <w:rPr>
      <w:sz w:val="18"/>
      <w:szCs w:val="18"/>
    </w:rPr>
  </w:style>
  <w:style w:type="character" w:customStyle="1" w:styleId="14">
    <w:name w:val="页脚 Char"/>
    <w:basedOn w:val="7"/>
    <w:link w:val="4"/>
    <w:qFormat/>
    <w:uiPriority w:val="99"/>
    <w:rPr>
      <w:sz w:val="18"/>
      <w:szCs w:val="18"/>
    </w:rPr>
  </w:style>
  <w:style w:type="character" w:customStyle="1" w:styleId="15">
    <w:name w:val="fontstyle01"/>
    <w:basedOn w:val="7"/>
    <w:qFormat/>
    <w:uiPriority w:val="0"/>
    <w:rPr>
      <w:rFonts w:hint="eastAsia" w:ascii="仿宋_GB2312" w:eastAsia="仿宋_GB2312"/>
      <w:color w:val="000000"/>
      <w:sz w:val="32"/>
      <w:szCs w:val="32"/>
    </w:rPr>
  </w:style>
  <w:style w:type="character" w:customStyle="1" w:styleId="16">
    <w:name w:val="apple-converted-space"/>
    <w:basedOn w:val="7"/>
    <w:qFormat/>
    <w:uiPriority w:val="0"/>
  </w:style>
  <w:style w:type="character" w:customStyle="1" w:styleId="17">
    <w:name w:val="批注框文本 Char"/>
    <w:basedOn w:val="7"/>
    <w:link w:val="3"/>
    <w:semiHidden/>
    <w:qFormat/>
    <w:uiPriority w:val="99"/>
    <w:rPr>
      <w:sz w:val="18"/>
      <w:szCs w:val="18"/>
    </w:rPr>
  </w:style>
  <w:style w:type="paragraph" w:customStyle="1" w:styleId="18">
    <w:name w:val="默认段落字体 Para Char Char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9">
    <w:name w:val="标题3"/>
    <w:basedOn w:val="1"/>
    <w:next w:val="1"/>
    <w:qFormat/>
    <w:uiPriority w:val="0"/>
    <w:pPr>
      <w:autoSpaceDE w:val="0"/>
      <w:autoSpaceDN w:val="0"/>
      <w:snapToGrid w:val="0"/>
      <w:spacing w:line="590" w:lineRule="atLeast"/>
      <w:ind w:firstLine="624"/>
    </w:pPr>
    <w:rPr>
      <w:rFonts w:ascii="Times New Roman" w:hAnsi="Times New Roman" w:eastAsia="方正黑体_GBK" w:cs="Times New Roman"/>
      <w:snapToGrid w:val="0"/>
      <w:kern w:val="0"/>
      <w:sz w:val="32"/>
      <w:szCs w:val="20"/>
    </w:rPr>
  </w:style>
  <w:style w:type="character" w:customStyle="1" w:styleId="20">
    <w:name w:val="日期 Char"/>
    <w:basedOn w:val="7"/>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2186</Words>
  <Characters>12466</Characters>
  <Lines>103</Lines>
  <Paragraphs>29</Paragraphs>
  <ScaleCrop>false</ScaleCrop>
  <LinksUpToDate>false</LinksUpToDate>
  <CharactersWithSpaces>14623</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2018-01-23T08:18:00Z</dcterms:created>
  <dc:creator>Administrator</dc:creator>
  <cp:lastModifiedBy>Administrator</cp:lastModifiedBy>
  <cp:lastPrinted>2018-03-26T08:05:00Z</cp:lastPrinted>
  <dcterms:modified xsi:type="dcterms:W3CDTF">2018-03-26T08:27:24Z</dcterms:modified>
  <cp:revision>155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